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3332A0" w14:textId="564E471C" w:rsidR="00531A8F" w:rsidRPr="002E2CEF" w:rsidRDefault="00531A8F" w:rsidP="00531A8F">
      <w:pPr>
        <w:keepLines/>
        <w:snapToGrid w:val="0"/>
        <w:rPr>
          <w:rFonts w:ascii="Arial" w:eastAsia="MS Mincho" w:hAnsi="Arial" w:cs="Arial"/>
          <w:b/>
          <w:sz w:val="22"/>
          <w:szCs w:val="28"/>
        </w:rPr>
      </w:pPr>
      <w:r w:rsidRPr="002E2CEF">
        <w:rPr>
          <w:rFonts w:ascii="Arial" w:hAnsi="Arial" w:cs="Arial"/>
          <w:b/>
          <w:sz w:val="22"/>
          <w:szCs w:val="28"/>
        </w:rPr>
        <w:t xml:space="preserve">3GPP TSG RAN </w:t>
      </w:r>
      <w:r>
        <w:rPr>
          <w:rFonts w:ascii="Arial" w:hAnsi="Arial" w:cs="Arial"/>
          <w:b/>
          <w:sz w:val="22"/>
          <w:szCs w:val="28"/>
        </w:rPr>
        <w:t>CC</w:t>
      </w:r>
      <w:r w:rsidRPr="002E2CEF">
        <w:rPr>
          <w:rFonts w:ascii="Arial" w:hAnsi="Arial" w:cs="Arial"/>
          <w:b/>
          <w:sz w:val="22"/>
          <w:szCs w:val="28"/>
        </w:rPr>
        <w:t>#1</w:t>
      </w:r>
      <w:r>
        <w:rPr>
          <w:rFonts w:ascii="Arial" w:hAnsi="Arial" w:cs="Arial"/>
          <w:b/>
          <w:sz w:val="22"/>
          <w:szCs w:val="28"/>
        </w:rPr>
        <w:t xml:space="preserve"> for IMT-2030 TPR</w:t>
      </w:r>
      <w:r w:rsidRPr="002E2CEF">
        <w:rPr>
          <w:rFonts w:ascii="Arial" w:hAnsi="Arial" w:cs="Arial"/>
          <w:b/>
          <w:sz w:val="22"/>
          <w:szCs w:val="28"/>
        </w:rPr>
        <w:tab/>
      </w:r>
      <w:r w:rsidRPr="002E2CEF">
        <w:rPr>
          <w:rFonts w:ascii="Arial" w:hAnsi="Arial" w:cs="Arial"/>
          <w:b/>
          <w:sz w:val="22"/>
          <w:szCs w:val="28"/>
        </w:rPr>
        <w:tab/>
      </w:r>
      <w:r w:rsidRPr="002E2CEF">
        <w:rPr>
          <w:rFonts w:ascii="Arial" w:eastAsia="MS Mincho" w:hAnsi="Arial" w:cs="Arial"/>
          <w:b/>
          <w:sz w:val="22"/>
          <w:szCs w:val="28"/>
        </w:rPr>
        <w:tab/>
      </w:r>
      <w:r>
        <w:rPr>
          <w:rFonts w:ascii="Arial" w:hAnsi="Arial" w:cs="Arial" w:hint="eastAsia"/>
          <w:b/>
          <w:sz w:val="22"/>
          <w:szCs w:val="28"/>
        </w:rPr>
        <w:t xml:space="preserve">                                 </w:t>
      </w:r>
      <w:r w:rsidRPr="002E2CEF">
        <w:rPr>
          <w:rFonts w:ascii="Arial" w:hAnsi="Arial" w:cs="Arial"/>
          <w:b/>
          <w:sz w:val="22"/>
          <w:szCs w:val="28"/>
        </w:rPr>
        <w:t>RP-</w:t>
      </w:r>
      <w:r>
        <w:rPr>
          <w:rFonts w:ascii="Arial" w:hAnsi="Arial" w:cs="Arial"/>
          <w:b/>
          <w:sz w:val="22"/>
          <w:szCs w:val="28"/>
        </w:rPr>
        <w:t>xx</w:t>
      </w:r>
    </w:p>
    <w:p w14:paraId="7FDF38F5" w14:textId="7529C996" w:rsidR="000F77EA" w:rsidRDefault="00531A8F" w:rsidP="00531A8F">
      <w:pPr>
        <w:widowControl/>
        <w:snapToGrid w:val="0"/>
        <w:spacing w:after="200" w:line="276" w:lineRule="auto"/>
        <w:rPr>
          <w:rFonts w:ascii="Arial" w:hAnsi="Arial" w:cs="Times New Roman"/>
          <w:b/>
          <w:kern w:val="0"/>
        </w:rPr>
      </w:pPr>
      <w:r>
        <w:rPr>
          <w:rFonts w:ascii="Arial" w:hAnsi="Arial" w:cs="Arial"/>
          <w:b/>
          <w:sz w:val="22"/>
          <w:szCs w:val="28"/>
        </w:rPr>
        <w:t>Conference call</w:t>
      </w:r>
      <w:r w:rsidRPr="00CA2BCB">
        <w:rPr>
          <w:rFonts w:ascii="Arial" w:hAnsi="Arial" w:cs="Arial"/>
          <w:b/>
          <w:sz w:val="22"/>
          <w:szCs w:val="28"/>
        </w:rPr>
        <w:t xml:space="preserve">, </w:t>
      </w:r>
      <w:r>
        <w:rPr>
          <w:rFonts w:ascii="Arial" w:hAnsi="Arial" w:cs="Arial"/>
          <w:b/>
          <w:sz w:val="22"/>
          <w:szCs w:val="28"/>
        </w:rPr>
        <w:t>April</w:t>
      </w:r>
      <w:r w:rsidRPr="00CA2BCB">
        <w:rPr>
          <w:rFonts w:ascii="Arial" w:hAnsi="Arial" w:cs="Arial"/>
          <w:b/>
          <w:sz w:val="22"/>
          <w:szCs w:val="28"/>
        </w:rPr>
        <w:t xml:space="preserve"> 2</w:t>
      </w:r>
      <w:r>
        <w:rPr>
          <w:rFonts w:ascii="Arial" w:hAnsi="Arial" w:cs="Arial"/>
          <w:b/>
          <w:sz w:val="22"/>
          <w:szCs w:val="28"/>
        </w:rPr>
        <w:t>9</w:t>
      </w:r>
      <w:r w:rsidRPr="00CA2BCB">
        <w:rPr>
          <w:rFonts w:ascii="Arial" w:hAnsi="Arial" w:cs="Arial"/>
          <w:b/>
          <w:sz w:val="22"/>
          <w:szCs w:val="28"/>
        </w:rPr>
        <w:t>, 2025</w:t>
      </w:r>
    </w:p>
    <w:p w14:paraId="31990458" w14:textId="77777777" w:rsidR="000F77EA" w:rsidRDefault="00000000">
      <w:pPr>
        <w:widowControl/>
        <w:tabs>
          <w:tab w:val="left" w:pos="1805"/>
          <w:tab w:val="right" w:pos="9072"/>
        </w:tabs>
        <w:snapToGrid w:val="0"/>
        <w:spacing w:before="120" w:line="276" w:lineRule="auto"/>
        <w:ind w:left="1803" w:hanging="1803"/>
        <w:rPr>
          <w:rFonts w:ascii="Times New Roman" w:hAnsi="Times New Roman" w:cs="Times New Roman"/>
          <w:b/>
          <w:bCs/>
          <w:kern w:val="0"/>
        </w:rPr>
      </w:pPr>
      <w:r>
        <w:rPr>
          <w:rFonts w:ascii="Arial" w:eastAsia="MS Mincho" w:hAnsi="Arial" w:cs="Times New Roman"/>
          <w:b/>
          <w:kern w:val="0"/>
        </w:rPr>
        <w:t>Source:</w:t>
      </w:r>
      <w:r>
        <w:rPr>
          <w:rFonts w:ascii="Times New Roman" w:eastAsia="宋体" w:hAnsi="Times New Roman" w:cs="Times New Roman"/>
          <w:b/>
          <w:bCs/>
          <w:kern w:val="0"/>
        </w:rPr>
        <w:tab/>
      </w:r>
      <w:r>
        <w:rPr>
          <w:rFonts w:ascii="Arial" w:eastAsia="MS Mincho" w:hAnsi="Arial" w:cs="Times New Roman"/>
          <w:b/>
          <w:kern w:val="0"/>
        </w:rPr>
        <w:t>ZTE</w:t>
      </w:r>
      <w:r>
        <w:rPr>
          <w:rFonts w:ascii="Arial" w:hAnsi="Arial" w:cs="Times New Roman" w:hint="eastAsia"/>
          <w:b/>
          <w:kern w:val="0"/>
        </w:rPr>
        <w:t xml:space="preserve"> Corporation, Sanechips</w:t>
      </w:r>
    </w:p>
    <w:p w14:paraId="564868D4" w14:textId="77777777" w:rsidR="000F77EA" w:rsidRDefault="00000000">
      <w:pPr>
        <w:widowControl/>
        <w:tabs>
          <w:tab w:val="left" w:pos="1800"/>
          <w:tab w:val="center" w:pos="4536"/>
          <w:tab w:val="right" w:pos="9072"/>
        </w:tabs>
        <w:snapToGrid w:val="0"/>
        <w:spacing w:line="276" w:lineRule="auto"/>
        <w:ind w:left="1756" w:hangingChars="833" w:hanging="1756"/>
        <w:rPr>
          <w:rFonts w:ascii="Times New Roman" w:hAnsi="Times New Roman" w:cs="Times New Roman"/>
          <w:b/>
          <w:bCs/>
          <w:kern w:val="0"/>
        </w:rPr>
      </w:pPr>
      <w:r>
        <w:rPr>
          <w:rFonts w:ascii="Arial" w:eastAsia="MS Mincho" w:hAnsi="Arial" w:cs="Times New Roman"/>
          <w:b/>
          <w:kern w:val="0"/>
        </w:rPr>
        <w:t>Title:</w:t>
      </w:r>
      <w:r>
        <w:rPr>
          <w:rFonts w:ascii="Times New Roman" w:eastAsia="宋体" w:hAnsi="Times New Roman" w:cs="Times New Roman"/>
          <w:b/>
          <w:bCs/>
          <w:kern w:val="0"/>
        </w:rPr>
        <w:tab/>
      </w:r>
      <w:bookmarkStart w:id="0" w:name="OLE_LINK3"/>
      <w:r>
        <w:rPr>
          <w:rFonts w:ascii="Arial" w:hAnsi="Arial" w:cs="Times New Roman" w:hint="eastAsia"/>
          <w:b/>
          <w:kern w:val="0"/>
        </w:rPr>
        <w:t>Views on RAN study for IMT-2030</w:t>
      </w:r>
      <w:bookmarkEnd w:id="0"/>
    </w:p>
    <w:p w14:paraId="32EA6415" w14:textId="77777777" w:rsidR="000F77EA" w:rsidRDefault="00000000">
      <w:pPr>
        <w:widowControl/>
        <w:tabs>
          <w:tab w:val="left" w:pos="1800"/>
          <w:tab w:val="center" w:pos="4536"/>
          <w:tab w:val="right" w:pos="9072"/>
        </w:tabs>
        <w:snapToGrid w:val="0"/>
        <w:spacing w:line="276" w:lineRule="auto"/>
        <w:rPr>
          <w:rFonts w:ascii="Times New Roman" w:hAnsi="Times New Roman" w:cs="Times New Roman"/>
          <w:b/>
          <w:bCs/>
          <w:kern w:val="0"/>
        </w:rPr>
      </w:pPr>
      <w:r>
        <w:rPr>
          <w:rFonts w:ascii="Arial" w:eastAsia="MS Mincho" w:hAnsi="Arial" w:cs="Times New Roman"/>
          <w:b/>
          <w:kern w:val="0"/>
        </w:rPr>
        <w:t>Agenda Item:</w:t>
      </w:r>
      <w:r>
        <w:rPr>
          <w:rFonts w:ascii="Times New Roman" w:eastAsia="宋体" w:hAnsi="Times New Roman" w:cs="Times New Roman"/>
          <w:b/>
          <w:bCs/>
          <w:kern w:val="0"/>
        </w:rPr>
        <w:tab/>
      </w:r>
      <w:r>
        <w:rPr>
          <w:rFonts w:ascii="Arial" w:hAnsi="Arial" w:cs="Times New Roman" w:hint="eastAsia"/>
          <w:b/>
          <w:kern w:val="0"/>
        </w:rPr>
        <w:t>16.1</w:t>
      </w:r>
    </w:p>
    <w:p w14:paraId="650E5603" w14:textId="77777777" w:rsidR="000F77EA" w:rsidRDefault="00000000">
      <w:pPr>
        <w:spacing w:line="276" w:lineRule="auto"/>
        <w:ind w:left="1985" w:hanging="1985"/>
        <w:rPr>
          <w:rFonts w:ascii="Arial" w:hAnsi="Arial" w:cs="Arial"/>
          <w:b/>
          <w:bCs/>
        </w:rPr>
      </w:pPr>
      <w:r>
        <w:rPr>
          <w:rFonts w:ascii="Arial" w:eastAsia="MS Mincho" w:hAnsi="Arial" w:cs="Times New Roman"/>
          <w:b/>
          <w:kern w:val="0"/>
          <w:lang w:eastAsia="en-US"/>
        </w:rPr>
        <w:t>Document for:</w:t>
      </w:r>
      <w:r>
        <w:rPr>
          <w:rFonts w:ascii="Times New Roman" w:eastAsia="t" w:hAnsi="Times New Roman" w:cs="Times New Roman"/>
          <w:b/>
          <w:kern w:val="0"/>
          <w:lang w:eastAsia="ja-JP"/>
        </w:rPr>
        <w:tab/>
      </w:r>
      <w:r>
        <w:rPr>
          <w:rFonts w:ascii="Arial" w:eastAsia="MS Mincho" w:hAnsi="Arial" w:cs="Times New Roman"/>
          <w:b/>
          <w:kern w:val="0"/>
          <w:lang w:eastAsia="ja-JP"/>
        </w:rPr>
        <w:t>Discussion and Decision</w:t>
      </w:r>
    </w:p>
    <w:p w14:paraId="7206AFDE" w14:textId="77777777" w:rsidR="000F77EA" w:rsidRDefault="00000000">
      <w:pPr>
        <w:pStyle w:val="1"/>
        <w:numPr>
          <w:ilvl w:val="0"/>
          <w:numId w:val="2"/>
        </w:numPr>
        <w:spacing w:line="276" w:lineRule="auto"/>
        <w:rPr>
          <w:rFonts w:cs="Arial"/>
          <w:lang w:eastAsia="zh-CN"/>
        </w:rPr>
      </w:pPr>
      <w:r>
        <w:rPr>
          <w:rFonts w:ascii="Times New Roman" w:hAnsi="Times New Roman"/>
        </w:rPr>
        <w:tab/>
      </w:r>
      <w:r>
        <w:rPr>
          <w:rFonts w:cs="Arial"/>
        </w:rPr>
        <w:t>Introduction</w:t>
      </w:r>
    </w:p>
    <w:p w14:paraId="0595BE61" w14:textId="77777777" w:rsidR="000F77EA" w:rsidRDefault="00000000">
      <w:pPr>
        <w:spacing w:line="276" w:lineRule="auto"/>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n RAN#10</w:t>
      </w:r>
      <w:r>
        <w:rPr>
          <w:rFonts w:ascii="Times New Roman" w:hAnsi="Times New Roman" w:cs="Times New Roman" w:hint="eastAsia"/>
          <w:lang w:val="en-GB"/>
        </w:rPr>
        <w:t>3</w:t>
      </w:r>
      <w:r>
        <w:rPr>
          <w:rFonts w:ascii="Times New Roman" w:hAnsi="Times New Roman" w:cs="Times New Roman" w:hint="eastAsia"/>
        </w:rPr>
        <w:t xml:space="preserve"> meeting</w:t>
      </w:r>
      <w:r>
        <w:rPr>
          <w:rFonts w:ascii="Times New Roman" w:hAnsi="Times New Roman" w:cs="Times New Roman"/>
          <w:lang w:val="en-GB"/>
        </w:rPr>
        <w:t xml:space="preserve">, </w:t>
      </w:r>
      <w:r>
        <w:rPr>
          <w:rFonts w:ascii="Times New Roman" w:hAnsi="Times New Roman" w:cs="Times New Roman" w:hint="eastAsia"/>
          <w:lang w:val="en-GB"/>
        </w:rPr>
        <w:t>the following RAN plenary work plan was agreed for IMT-2030 aspects</w:t>
      </w:r>
      <w:r>
        <w:rPr>
          <w:rFonts w:ascii="Times New Roman" w:hAnsi="Times New Roman" w:cs="Times New Roman"/>
          <w:lang w:val="en-GB"/>
        </w:rPr>
        <w:t xml:space="preserve"> [1]</w:t>
      </w:r>
      <w:r>
        <w:rPr>
          <w:rFonts w:ascii="Times New Roman" w:hAnsi="Times New Roman" w:cs="Times New Roman" w:hint="eastAsia"/>
        </w:rPr>
        <w:t xml:space="preserve"> where the RAN study includes two phases corresponding to ITU IMT-2030 TPR and 6G general aspects respectively.</w:t>
      </w:r>
      <w:r>
        <w:rPr>
          <w:rFonts w:ascii="Times New Roman" w:hAnsi="Times New Roman" w:cs="Times New Roman" w:hint="eastAsia"/>
          <w:lang w:val="en-GB"/>
        </w:rPr>
        <w:t xml:space="preserve"> </w:t>
      </w:r>
    </w:p>
    <w:tbl>
      <w:tblPr>
        <w:tblStyle w:val="af5"/>
        <w:tblW w:w="0" w:type="auto"/>
        <w:tblLook w:val="04A0" w:firstRow="1" w:lastRow="0" w:firstColumn="1" w:lastColumn="0" w:noHBand="0" w:noVBand="1"/>
      </w:tblPr>
      <w:tblGrid>
        <w:gridCol w:w="9576"/>
      </w:tblGrid>
      <w:tr w:rsidR="000F77EA" w14:paraId="0294DD02" w14:textId="77777777">
        <w:tc>
          <w:tcPr>
            <w:tcW w:w="9576" w:type="dxa"/>
          </w:tcPr>
          <w:p w14:paraId="5CB543E9" w14:textId="77777777" w:rsidR="000F77EA" w:rsidRDefault="00000000">
            <w:pPr>
              <w:spacing w:line="276" w:lineRule="auto"/>
              <w:rPr>
                <w:rFonts w:ascii="Times New Roman" w:hAnsi="Times New Roman" w:cs="Times New Roman"/>
              </w:rPr>
            </w:pPr>
            <w:r>
              <w:rPr>
                <w:rFonts w:ascii="Times New Roman" w:hAnsi="Times New Roman" w:cs="Times New Roman"/>
              </w:rPr>
              <w:t>RAN plenary work is split into an ITU focused SI (study item) and General RAN SI</w:t>
            </w:r>
          </w:p>
          <w:p w14:paraId="30FB3616" w14:textId="77777777" w:rsidR="000F77EA" w:rsidRDefault="00000000">
            <w:pPr>
              <w:numPr>
                <w:ilvl w:val="0"/>
                <w:numId w:val="3"/>
              </w:numPr>
              <w:spacing w:line="276" w:lineRule="auto"/>
              <w:rPr>
                <w:rFonts w:ascii="Times New Roman" w:hAnsi="Times New Roman" w:cs="Times New Roman"/>
              </w:rPr>
            </w:pPr>
            <w:r>
              <w:rPr>
                <w:rFonts w:ascii="Times New Roman" w:hAnsi="Times New Roman" w:cs="Times New Roman"/>
              </w:rPr>
              <w:t>IMT-2030 discussion is expected in RAN from 09/24 to 12/24</w:t>
            </w:r>
          </w:p>
          <w:p w14:paraId="3056A7CF" w14:textId="77777777" w:rsidR="000F77EA" w:rsidRDefault="00000000">
            <w:pPr>
              <w:numPr>
                <w:ilvl w:val="0"/>
                <w:numId w:val="3"/>
              </w:numPr>
              <w:spacing w:line="276" w:lineRule="auto"/>
              <w:rPr>
                <w:rFonts w:ascii="Times New Roman" w:hAnsi="Times New Roman" w:cs="Times New Roman"/>
              </w:rPr>
            </w:pPr>
            <w:r>
              <w:rPr>
                <w:rFonts w:ascii="Times New Roman" w:hAnsi="Times New Roman" w:cs="Times New Roman"/>
              </w:rPr>
              <w:t>RP SI Rel-20 focusing on ITU– IMT-2030: approval 12/24 until 06/25</w:t>
            </w:r>
          </w:p>
          <w:p w14:paraId="0770846C" w14:textId="77777777" w:rsidR="000F77EA" w:rsidRDefault="00000000">
            <w:pPr>
              <w:numPr>
                <w:ilvl w:val="0"/>
                <w:numId w:val="3"/>
              </w:numPr>
              <w:spacing w:line="276" w:lineRule="auto"/>
              <w:rPr>
                <w:rFonts w:ascii="Times New Roman" w:hAnsi="Times New Roman" w:cs="Times New Roman"/>
              </w:rPr>
            </w:pPr>
            <w:r>
              <w:rPr>
                <w:rFonts w:ascii="Times New Roman" w:hAnsi="Times New Roman" w:cs="Times New Roman"/>
              </w:rPr>
              <w:t>RP SI Rel-20 focusing on 6G General: approval 03/25 (after WS), until 06/26</w:t>
            </w:r>
          </w:p>
        </w:tc>
      </w:tr>
    </w:tbl>
    <w:p w14:paraId="23EF4AED" w14:textId="77777777" w:rsidR="000F77EA" w:rsidRDefault="00000000">
      <w:pPr>
        <w:spacing w:line="276" w:lineRule="auto"/>
        <w:rPr>
          <w:rFonts w:ascii="Times New Roman" w:hAnsi="Times New Roman" w:cs="Times New Roman"/>
        </w:rPr>
      </w:pPr>
      <w:r>
        <w:rPr>
          <w:rFonts w:ascii="Times New Roman" w:hAnsi="Times New Roman" w:cs="Times New Roman" w:hint="eastAsia"/>
        </w:rPr>
        <w:t xml:space="preserve">In RAN#106 meeting, the new SID was endorsed for Study on 6G scenarios/use cases and requirements where the first phase on ITU TPR part is included but the second phase on general 6G aspect will be filled in this March RAN plenary meeting. </w:t>
      </w:r>
    </w:p>
    <w:tbl>
      <w:tblPr>
        <w:tblStyle w:val="af5"/>
        <w:tblW w:w="0" w:type="auto"/>
        <w:tblLook w:val="04A0" w:firstRow="1" w:lastRow="0" w:firstColumn="1" w:lastColumn="0" w:noHBand="0" w:noVBand="1"/>
      </w:tblPr>
      <w:tblGrid>
        <w:gridCol w:w="9576"/>
      </w:tblGrid>
      <w:tr w:rsidR="000F77EA" w14:paraId="136EF829" w14:textId="77777777">
        <w:trPr>
          <w:trHeight w:val="2213"/>
        </w:trPr>
        <w:tc>
          <w:tcPr>
            <w:tcW w:w="9576" w:type="dxa"/>
          </w:tcPr>
          <w:p w14:paraId="2E1A3E97" w14:textId="77777777" w:rsidR="000F77EA" w:rsidRDefault="00000000">
            <w:pPr>
              <w:spacing w:line="276" w:lineRule="auto"/>
              <w:rPr>
                <w:rFonts w:ascii="Times New Roman" w:hAnsi="Times New Roman" w:cs="Times New Roman"/>
                <w:bCs/>
              </w:rPr>
            </w:pPr>
            <w:r>
              <w:rPr>
                <w:rFonts w:ascii="Times New Roman" w:hAnsi="Times New Roman" w:cs="Times New Roman"/>
                <w:bCs/>
              </w:rPr>
              <w:t xml:space="preserve">This study item aims to </w:t>
            </w:r>
          </w:p>
          <w:p w14:paraId="3FE00531" w14:textId="77777777" w:rsidR="000F77EA" w:rsidRDefault="00000000">
            <w:pPr>
              <w:numPr>
                <w:ilvl w:val="0"/>
                <w:numId w:val="4"/>
              </w:numPr>
              <w:spacing w:line="276" w:lineRule="auto"/>
              <w:ind w:firstLineChars="200" w:firstLine="420"/>
              <w:rPr>
                <w:rFonts w:ascii="Times New Roman" w:hAnsi="Times New Roman" w:cs="Times New Roman"/>
              </w:rPr>
            </w:pPr>
            <w:r>
              <w:rPr>
                <w:rFonts w:ascii="Times New Roman" w:hAnsi="Times New Roman" w:cs="Times New Roman"/>
              </w:rPr>
              <w:t>investigate a candidate set of items for minimum TPRs based on the Recommendation ITU-R M.2160, and</w:t>
            </w:r>
            <w:r>
              <w:rPr>
                <w:rFonts w:ascii="Times New Roman" w:hAnsi="Times New Roman" w:cs="Times New Roman" w:hint="eastAsia"/>
              </w:rPr>
              <w:t>, where applicable,</w:t>
            </w:r>
            <w:r>
              <w:rPr>
                <w:rFonts w:ascii="Times New Roman" w:hAnsi="Times New Roman" w:cs="Times New Roman"/>
              </w:rPr>
              <w:t xml:space="preserve"> the associated target values </w:t>
            </w:r>
            <w:r>
              <w:rPr>
                <w:rFonts w:ascii="Times New Roman" w:hAnsi="Times New Roman" w:cs="Times New Roman" w:hint="eastAsia"/>
              </w:rPr>
              <w:t xml:space="preserve">and key assumptions </w:t>
            </w:r>
            <w:r>
              <w:rPr>
                <w:rFonts w:ascii="Times New Roman" w:hAnsi="Times New Roman" w:cs="Times New Roman"/>
              </w:rPr>
              <w:t>for the identified minimum TPRs.</w:t>
            </w:r>
          </w:p>
          <w:p w14:paraId="1033F694" w14:textId="77777777" w:rsidR="000F77EA" w:rsidRDefault="00000000">
            <w:pPr>
              <w:numPr>
                <w:ilvl w:val="1"/>
                <w:numId w:val="4"/>
              </w:numPr>
              <w:spacing w:line="276" w:lineRule="auto"/>
              <w:ind w:firstLineChars="200" w:firstLine="420"/>
              <w:rPr>
                <w:rFonts w:ascii="Times New Roman" w:hAnsi="Times New Roman" w:cs="Times New Roman"/>
              </w:rPr>
            </w:pPr>
            <w:r>
              <w:rPr>
                <w:rFonts w:ascii="Times New Roman" w:hAnsi="Times New Roman" w:cs="Times New Roman"/>
              </w:rPr>
              <w:t xml:space="preserve">The outcome is expected to be shared </w:t>
            </w:r>
            <w:r>
              <w:rPr>
                <w:rFonts w:ascii="Times New Roman" w:hAnsi="Times New Roman" w:cs="Times New Roman" w:hint="eastAsia"/>
              </w:rPr>
              <w:t xml:space="preserve">by LS </w:t>
            </w:r>
            <w:r>
              <w:rPr>
                <w:rFonts w:ascii="Times New Roman" w:hAnsi="Times New Roman" w:cs="Times New Roman"/>
              </w:rPr>
              <w:t>with ITU-R WP5D, as suitable, and used as a baseline for the subsequent study 6G in RAN</w:t>
            </w:r>
          </w:p>
          <w:p w14:paraId="34875413" w14:textId="77777777" w:rsidR="000F77EA" w:rsidRDefault="000F77EA">
            <w:pPr>
              <w:spacing w:line="276" w:lineRule="auto"/>
              <w:rPr>
                <w:rFonts w:ascii="Times New Roman" w:hAnsi="Times New Roman" w:cs="Times New Roman"/>
                <w:bCs/>
              </w:rPr>
            </w:pPr>
          </w:p>
          <w:p w14:paraId="46B11B3E" w14:textId="77777777" w:rsidR="000F77EA" w:rsidRDefault="00000000">
            <w:pPr>
              <w:numPr>
                <w:ilvl w:val="0"/>
                <w:numId w:val="4"/>
              </w:numPr>
              <w:spacing w:line="276" w:lineRule="auto"/>
              <w:ind w:firstLineChars="200" w:firstLine="420"/>
              <w:rPr>
                <w:rFonts w:ascii="Times New Roman" w:hAnsi="Times New Roman" w:cs="Times New Roman"/>
              </w:rPr>
            </w:pPr>
            <w:r>
              <w:rPr>
                <w:rFonts w:ascii="Times New Roman" w:hAnsi="Times New Roman" w:cs="Times New Roman"/>
                <w:u w:val="single"/>
              </w:rPr>
              <w:t>[To fill in additional objectives, on general 6G RAN study, in March’2025]</w:t>
            </w:r>
            <w:r>
              <w:rPr>
                <w:rFonts w:ascii="Times New Roman" w:hAnsi="Times New Roman" w:cs="Times New Roman" w:hint="eastAsia"/>
                <w:u w:val="single"/>
              </w:rPr>
              <w:t xml:space="preserve"> </w:t>
            </w:r>
          </w:p>
        </w:tc>
      </w:tr>
    </w:tbl>
    <w:p w14:paraId="2333002F" w14:textId="77777777" w:rsidR="000F77EA" w:rsidRDefault="00000000">
      <w:pPr>
        <w:spacing w:line="276" w:lineRule="auto"/>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this contribution, we elaborate</w:t>
      </w:r>
      <w:r>
        <w:rPr>
          <w:rFonts w:ascii="Times New Roman" w:hAnsi="Times New Roman" w:cs="Times New Roman" w:hint="eastAsia"/>
        </w:rPr>
        <w:t xml:space="preserve"> our views on both study phases.</w:t>
      </w:r>
    </w:p>
    <w:p w14:paraId="769AC2E5" w14:textId="77777777" w:rsidR="000F77EA" w:rsidRDefault="00000000">
      <w:pPr>
        <w:pStyle w:val="1"/>
        <w:numPr>
          <w:ilvl w:val="0"/>
          <w:numId w:val="2"/>
        </w:numPr>
        <w:spacing w:line="276" w:lineRule="auto"/>
        <w:rPr>
          <w:rFonts w:cs="Arial"/>
          <w:szCs w:val="22"/>
        </w:rPr>
      </w:pPr>
      <w:r>
        <w:rPr>
          <w:rFonts w:cs="Arial"/>
          <w:szCs w:val="22"/>
        </w:rPr>
        <w:t>TPR candidates and values</w:t>
      </w:r>
    </w:p>
    <w:p w14:paraId="2A33B165" w14:textId="77777777" w:rsidR="000F77EA" w:rsidRDefault="00000000">
      <w:pPr>
        <w:snapToGrid w:val="0"/>
        <w:spacing w:beforeLines="50" w:before="120" w:after="120"/>
        <w:rPr>
          <w:rFonts w:ascii="Times New Roman" w:eastAsia="Times New Roman" w:hAnsi="Times New Roman" w:cs="Times New Roman"/>
          <w:color w:val="000000"/>
        </w:rPr>
      </w:pPr>
      <w:bookmarkStart w:id="1" w:name="DocumentFor"/>
      <w:bookmarkStart w:id="2" w:name="Title"/>
      <w:bookmarkEnd w:id="1"/>
      <w:bookmarkEnd w:id="2"/>
      <w:r>
        <w:rPr>
          <w:rFonts w:ascii="Times New Roman" w:eastAsia="Times New Roman" w:hAnsi="Times New Roman" w:cs="Times New Roman" w:hint="eastAsia"/>
          <w:color w:val="000000"/>
        </w:rPr>
        <w:t>I</w:t>
      </w:r>
      <w:r>
        <w:rPr>
          <w:rFonts w:ascii="Times New Roman" w:eastAsia="Times New Roman" w:hAnsi="Times New Roman" w:cs="Times New Roman"/>
          <w:color w:val="000000"/>
        </w:rPr>
        <w:t>n ITU-R WP5D#48</w:t>
      </w:r>
      <w:r>
        <w:rPr>
          <w:rFonts w:ascii="Times New Roman" w:eastAsia="Times New Roman" w:hAnsi="Times New Roman" w:cs="Times New Roman" w:hint="eastAsia"/>
          <w:color w:val="000000"/>
        </w:rPr>
        <w:t xml:space="preserve"> in February 2025</w:t>
      </w:r>
      <w:r>
        <w:rPr>
          <w:rFonts w:ascii="Times New Roman" w:eastAsia="Times New Roman" w:hAnsi="Times New Roman" w:cs="Times New Roman"/>
          <w:color w:val="000000"/>
        </w:rPr>
        <w:t>, input documents including candidate TPR list provided by 3GPP RAN were discussed in SWG radio aspects. A preliminary list of Minimum Technical Performance Requirements (MTPRs) [4] was agreed and sent to SWG Evaluation from SWG radio aspects as shown below:</w:t>
      </w:r>
    </w:p>
    <w:p w14:paraId="1C29403E" w14:textId="77777777" w:rsidR="000F77EA" w:rsidRDefault="00000000">
      <w:pPr>
        <w:pStyle w:val="Tabletitle"/>
        <w:snapToGrid w:val="0"/>
      </w:pPr>
      <w:r>
        <w:t>Preliminary list of Minimum Technical Performance Requirements</w:t>
      </w:r>
    </w:p>
    <w:p w14:paraId="7592481D" w14:textId="77777777" w:rsidR="000F77EA" w:rsidRDefault="00000000">
      <w:pPr>
        <w:pStyle w:val="Note"/>
        <w:snapToGrid w:val="0"/>
        <w:jc w:val="center"/>
        <w:rPr>
          <w:i/>
          <w:iCs/>
          <w:sz w:val="20"/>
          <w:szCs w:val="18"/>
        </w:rPr>
      </w:pPr>
      <w:r>
        <w:rPr>
          <w:i/>
          <w:iCs/>
          <w:sz w:val="20"/>
          <w:szCs w:val="18"/>
        </w:rPr>
        <w:t>(Note: Square brackets indicate further discussion required)</w:t>
      </w:r>
    </w:p>
    <w:tbl>
      <w:tblPr>
        <w:tblStyle w:val="af5"/>
        <w:tblW w:w="0" w:type="auto"/>
        <w:jc w:val="center"/>
        <w:tblLook w:val="04A0" w:firstRow="1" w:lastRow="0" w:firstColumn="1" w:lastColumn="0" w:noHBand="0" w:noVBand="1"/>
      </w:tblPr>
      <w:tblGrid>
        <w:gridCol w:w="4955"/>
        <w:gridCol w:w="1805"/>
      </w:tblGrid>
      <w:tr w:rsidR="000F77EA" w14:paraId="39B99CD8" w14:textId="77777777">
        <w:trPr>
          <w:tblHeader/>
          <w:jc w:val="center"/>
        </w:trPr>
        <w:tc>
          <w:tcPr>
            <w:tcW w:w="4955" w:type="dxa"/>
          </w:tcPr>
          <w:p w14:paraId="07E56637" w14:textId="77777777" w:rsidR="000F77EA" w:rsidRDefault="00000000">
            <w:pPr>
              <w:pStyle w:val="Tablehead"/>
              <w:snapToGrid w:val="0"/>
              <w:spacing w:before="0" w:after="0"/>
            </w:pPr>
            <w:r>
              <w:t>Minimum Technical Performance Requirement</w:t>
            </w:r>
          </w:p>
        </w:tc>
        <w:tc>
          <w:tcPr>
            <w:tcW w:w="1805" w:type="dxa"/>
          </w:tcPr>
          <w:p w14:paraId="068F1231" w14:textId="77777777" w:rsidR="000F77EA" w:rsidRDefault="00000000">
            <w:pPr>
              <w:pStyle w:val="Tablehead"/>
              <w:snapToGrid w:val="0"/>
              <w:spacing w:before="0" w:after="0"/>
            </w:pPr>
            <w:r>
              <w:t>Method</w:t>
            </w:r>
          </w:p>
        </w:tc>
      </w:tr>
      <w:tr w:rsidR="000F77EA" w14:paraId="1E0D4278" w14:textId="77777777">
        <w:trPr>
          <w:jc w:val="center"/>
        </w:trPr>
        <w:tc>
          <w:tcPr>
            <w:tcW w:w="4955" w:type="dxa"/>
          </w:tcPr>
          <w:p w14:paraId="20C2E968" w14:textId="77777777" w:rsidR="000F77EA" w:rsidRDefault="00000000">
            <w:pPr>
              <w:pStyle w:val="Tabletext"/>
              <w:snapToGrid w:val="0"/>
              <w:spacing w:before="0" w:after="0"/>
            </w:pPr>
            <w:r>
              <w:t>AI-related capabilities</w:t>
            </w:r>
          </w:p>
        </w:tc>
        <w:tc>
          <w:tcPr>
            <w:tcW w:w="1805" w:type="dxa"/>
          </w:tcPr>
          <w:p w14:paraId="7080F393" w14:textId="77777777" w:rsidR="000F77EA" w:rsidRDefault="00000000">
            <w:pPr>
              <w:pStyle w:val="Tabletext"/>
              <w:snapToGrid w:val="0"/>
              <w:spacing w:before="0" w:after="0"/>
              <w:rPr>
                <w:i/>
                <w:iCs/>
              </w:rPr>
            </w:pPr>
            <w:r>
              <w:rPr>
                <w:i/>
                <w:iCs/>
              </w:rPr>
              <w:t>(to be determined)</w:t>
            </w:r>
          </w:p>
        </w:tc>
      </w:tr>
      <w:tr w:rsidR="000F77EA" w14:paraId="7E35DEAA" w14:textId="77777777">
        <w:trPr>
          <w:jc w:val="center"/>
        </w:trPr>
        <w:tc>
          <w:tcPr>
            <w:tcW w:w="4955" w:type="dxa"/>
          </w:tcPr>
          <w:p w14:paraId="7DBBB701" w14:textId="77777777" w:rsidR="000F77EA" w:rsidRDefault="00000000">
            <w:pPr>
              <w:pStyle w:val="Tabletext"/>
              <w:snapToGrid w:val="0"/>
              <w:spacing w:before="0" w:after="0"/>
              <w:rPr>
                <w:rFonts w:eastAsia="Gulim"/>
                <w:szCs w:val="24"/>
              </w:rPr>
            </w:pPr>
            <w:r>
              <w:rPr>
                <w:rFonts w:eastAsia="Gulim"/>
                <w:szCs w:val="24"/>
              </w:rPr>
              <w:t xml:space="preserve">Area traffic capacity </w:t>
            </w:r>
          </w:p>
        </w:tc>
        <w:tc>
          <w:tcPr>
            <w:tcW w:w="1805" w:type="dxa"/>
          </w:tcPr>
          <w:p w14:paraId="25689129" w14:textId="77777777" w:rsidR="000F77EA" w:rsidRDefault="00000000">
            <w:pPr>
              <w:pStyle w:val="Tabletext"/>
              <w:snapToGrid w:val="0"/>
              <w:spacing w:before="0" w:after="0"/>
              <w:rPr>
                <w:rFonts w:eastAsia="Gulim"/>
                <w:szCs w:val="24"/>
              </w:rPr>
            </w:pPr>
            <w:r>
              <w:rPr>
                <w:rFonts w:eastAsia="Gulim"/>
                <w:szCs w:val="24"/>
              </w:rPr>
              <w:t>(Quantitative)</w:t>
            </w:r>
          </w:p>
          <w:p w14:paraId="379585AC" w14:textId="77777777" w:rsidR="000F77EA" w:rsidRDefault="00000000">
            <w:pPr>
              <w:pStyle w:val="Tabletext"/>
              <w:snapToGrid w:val="0"/>
              <w:spacing w:before="0" w:after="0"/>
              <w:rPr>
                <w:i/>
                <w:iCs/>
              </w:rPr>
            </w:pPr>
            <w:r>
              <w:t>(</w:t>
            </w:r>
            <w:r>
              <w:rPr>
                <w:i/>
                <w:iCs/>
              </w:rPr>
              <w:t>Note 1)</w:t>
            </w:r>
          </w:p>
        </w:tc>
      </w:tr>
      <w:tr w:rsidR="000F77EA" w14:paraId="07F5A7AF" w14:textId="77777777">
        <w:trPr>
          <w:jc w:val="center"/>
        </w:trPr>
        <w:tc>
          <w:tcPr>
            <w:tcW w:w="4955" w:type="dxa"/>
          </w:tcPr>
          <w:p w14:paraId="73AC0F06" w14:textId="77777777" w:rsidR="000F77EA" w:rsidRDefault="00000000">
            <w:pPr>
              <w:pStyle w:val="Tabletext"/>
              <w:snapToGrid w:val="0"/>
              <w:spacing w:before="0" w:after="0"/>
            </w:pPr>
            <w:r>
              <w:t>Average Spectral efficiency</w:t>
            </w:r>
          </w:p>
        </w:tc>
        <w:tc>
          <w:tcPr>
            <w:tcW w:w="1805" w:type="dxa"/>
          </w:tcPr>
          <w:p w14:paraId="2AC94F58" w14:textId="77777777" w:rsidR="000F77EA" w:rsidRDefault="00000000">
            <w:pPr>
              <w:pStyle w:val="Tabletext"/>
              <w:snapToGrid w:val="0"/>
              <w:spacing w:before="0" w:after="0"/>
            </w:pPr>
            <w:r>
              <w:rPr>
                <w:rFonts w:eastAsia="Gulim"/>
                <w:szCs w:val="24"/>
              </w:rPr>
              <w:t>(Quantitative)</w:t>
            </w:r>
          </w:p>
        </w:tc>
      </w:tr>
      <w:tr w:rsidR="000F77EA" w14:paraId="2A084A8A" w14:textId="77777777">
        <w:trPr>
          <w:jc w:val="center"/>
        </w:trPr>
        <w:tc>
          <w:tcPr>
            <w:tcW w:w="4955" w:type="dxa"/>
          </w:tcPr>
          <w:p w14:paraId="762E8757" w14:textId="77777777" w:rsidR="000F77EA" w:rsidRDefault="00000000">
            <w:pPr>
              <w:pStyle w:val="Tabletext"/>
              <w:snapToGrid w:val="0"/>
              <w:spacing w:before="0" w:after="0"/>
              <w:rPr>
                <w:rFonts w:eastAsia="Gulim"/>
                <w:szCs w:val="24"/>
              </w:rPr>
            </w:pPr>
            <w:r>
              <w:rPr>
                <w:rFonts w:eastAsia="Gulim"/>
                <w:szCs w:val="24"/>
              </w:rPr>
              <w:t>Peak spectral efficiency</w:t>
            </w:r>
          </w:p>
        </w:tc>
        <w:tc>
          <w:tcPr>
            <w:tcW w:w="1805" w:type="dxa"/>
          </w:tcPr>
          <w:p w14:paraId="720AF93B" w14:textId="77777777" w:rsidR="000F77EA" w:rsidRDefault="00000000">
            <w:pPr>
              <w:pStyle w:val="Tabletext"/>
              <w:snapToGrid w:val="0"/>
              <w:spacing w:before="0" w:after="0"/>
              <w:rPr>
                <w:rFonts w:eastAsia="Gulim"/>
                <w:szCs w:val="24"/>
              </w:rPr>
            </w:pPr>
            <w:r>
              <w:rPr>
                <w:rFonts w:eastAsia="Gulim"/>
                <w:szCs w:val="24"/>
              </w:rPr>
              <w:t>(Quantitative)</w:t>
            </w:r>
          </w:p>
        </w:tc>
      </w:tr>
      <w:tr w:rsidR="000F77EA" w14:paraId="047CB700" w14:textId="77777777">
        <w:trPr>
          <w:jc w:val="center"/>
        </w:trPr>
        <w:tc>
          <w:tcPr>
            <w:tcW w:w="4955" w:type="dxa"/>
          </w:tcPr>
          <w:p w14:paraId="1B205E96" w14:textId="77777777" w:rsidR="000F77EA" w:rsidRDefault="00000000">
            <w:pPr>
              <w:pStyle w:val="Tabletext"/>
              <w:snapToGrid w:val="0"/>
              <w:spacing w:before="0" w:after="0"/>
              <w:rPr>
                <w:rFonts w:eastAsia="Gulim"/>
                <w:szCs w:val="24"/>
              </w:rPr>
            </w:pPr>
            <w:r>
              <w:t>5th percentile user Spectral efficiency</w:t>
            </w:r>
          </w:p>
        </w:tc>
        <w:tc>
          <w:tcPr>
            <w:tcW w:w="1805" w:type="dxa"/>
          </w:tcPr>
          <w:p w14:paraId="43D95AC9" w14:textId="77777777" w:rsidR="000F77EA" w:rsidRDefault="00000000">
            <w:pPr>
              <w:pStyle w:val="Tabletext"/>
              <w:snapToGrid w:val="0"/>
              <w:spacing w:before="0" w:after="0"/>
              <w:rPr>
                <w:rFonts w:eastAsia="Gulim"/>
                <w:szCs w:val="24"/>
              </w:rPr>
            </w:pPr>
            <w:r>
              <w:rPr>
                <w:rFonts w:eastAsia="Gulim"/>
                <w:szCs w:val="24"/>
              </w:rPr>
              <w:t>(Quantitative)</w:t>
            </w:r>
          </w:p>
        </w:tc>
      </w:tr>
      <w:tr w:rsidR="000F77EA" w14:paraId="0BB732C0" w14:textId="77777777">
        <w:trPr>
          <w:jc w:val="center"/>
        </w:trPr>
        <w:tc>
          <w:tcPr>
            <w:tcW w:w="4955" w:type="dxa"/>
          </w:tcPr>
          <w:p w14:paraId="3F8536A5" w14:textId="77777777" w:rsidR="000F77EA" w:rsidRDefault="00000000">
            <w:pPr>
              <w:pStyle w:val="Tabletext"/>
              <w:snapToGrid w:val="0"/>
              <w:spacing w:before="0" w:after="0"/>
              <w:rPr>
                <w:rFonts w:eastAsia="Gulim"/>
                <w:szCs w:val="24"/>
              </w:rPr>
            </w:pPr>
            <w:r>
              <w:rPr>
                <w:rFonts w:eastAsia="Gulim"/>
                <w:szCs w:val="24"/>
              </w:rPr>
              <w:t>Bandwidth</w:t>
            </w:r>
          </w:p>
        </w:tc>
        <w:tc>
          <w:tcPr>
            <w:tcW w:w="1805" w:type="dxa"/>
          </w:tcPr>
          <w:p w14:paraId="748E21E5" w14:textId="77777777" w:rsidR="000F77EA" w:rsidRDefault="00000000">
            <w:pPr>
              <w:pStyle w:val="Tabletext"/>
              <w:snapToGrid w:val="0"/>
              <w:spacing w:before="0" w:after="0"/>
              <w:rPr>
                <w:rFonts w:eastAsia="Gulim"/>
                <w:szCs w:val="24"/>
              </w:rPr>
            </w:pPr>
            <w:r>
              <w:rPr>
                <w:rFonts w:eastAsia="Gulim"/>
                <w:szCs w:val="24"/>
              </w:rPr>
              <w:t>(Quantitative)</w:t>
            </w:r>
          </w:p>
        </w:tc>
      </w:tr>
      <w:tr w:rsidR="000F77EA" w14:paraId="3ACCE489" w14:textId="77777777">
        <w:trPr>
          <w:jc w:val="center"/>
        </w:trPr>
        <w:tc>
          <w:tcPr>
            <w:tcW w:w="4955" w:type="dxa"/>
          </w:tcPr>
          <w:p w14:paraId="0E229A3D" w14:textId="77777777" w:rsidR="000F77EA" w:rsidRDefault="00000000">
            <w:pPr>
              <w:pStyle w:val="Tabletext"/>
              <w:snapToGrid w:val="0"/>
              <w:spacing w:before="0" w:after="0"/>
              <w:rPr>
                <w:rFonts w:eastAsia="Gulim"/>
                <w:szCs w:val="24"/>
              </w:rPr>
            </w:pPr>
            <w:r>
              <w:rPr>
                <w:rFonts w:eastAsia="Gulim"/>
                <w:szCs w:val="24"/>
              </w:rPr>
              <w:t>Connection density</w:t>
            </w:r>
          </w:p>
        </w:tc>
        <w:tc>
          <w:tcPr>
            <w:tcW w:w="1805" w:type="dxa"/>
          </w:tcPr>
          <w:p w14:paraId="6083C942" w14:textId="77777777" w:rsidR="000F77EA" w:rsidRDefault="00000000">
            <w:pPr>
              <w:pStyle w:val="Tabletext"/>
              <w:snapToGrid w:val="0"/>
              <w:spacing w:before="0" w:after="0"/>
            </w:pPr>
            <w:r>
              <w:rPr>
                <w:rFonts w:eastAsia="Gulim"/>
                <w:szCs w:val="24"/>
              </w:rPr>
              <w:t>(Quantitative)</w:t>
            </w:r>
          </w:p>
        </w:tc>
      </w:tr>
      <w:tr w:rsidR="000F77EA" w14:paraId="1EC84CEE" w14:textId="77777777">
        <w:trPr>
          <w:jc w:val="center"/>
        </w:trPr>
        <w:tc>
          <w:tcPr>
            <w:tcW w:w="4955" w:type="dxa"/>
          </w:tcPr>
          <w:p w14:paraId="61682366" w14:textId="77777777" w:rsidR="000F77EA" w:rsidRDefault="00000000">
            <w:pPr>
              <w:pStyle w:val="Tabletext"/>
              <w:snapToGrid w:val="0"/>
              <w:spacing w:before="0" w:after="0"/>
            </w:pPr>
            <w:r>
              <w:t xml:space="preserve">Control plane latency </w:t>
            </w:r>
          </w:p>
        </w:tc>
        <w:tc>
          <w:tcPr>
            <w:tcW w:w="1805" w:type="dxa"/>
          </w:tcPr>
          <w:p w14:paraId="7322F2C4" w14:textId="77777777" w:rsidR="000F77EA" w:rsidRDefault="00000000">
            <w:pPr>
              <w:pStyle w:val="Tabletext"/>
              <w:snapToGrid w:val="0"/>
              <w:spacing w:before="0" w:after="0"/>
            </w:pPr>
            <w:r>
              <w:rPr>
                <w:rFonts w:eastAsia="Gulim"/>
                <w:szCs w:val="24"/>
              </w:rPr>
              <w:t>(Quantitative)</w:t>
            </w:r>
          </w:p>
        </w:tc>
      </w:tr>
      <w:tr w:rsidR="000F77EA" w14:paraId="41B777F1" w14:textId="77777777">
        <w:trPr>
          <w:jc w:val="center"/>
        </w:trPr>
        <w:tc>
          <w:tcPr>
            <w:tcW w:w="4955" w:type="dxa"/>
          </w:tcPr>
          <w:p w14:paraId="053C0687" w14:textId="77777777" w:rsidR="000F77EA" w:rsidRDefault="00000000">
            <w:pPr>
              <w:pStyle w:val="Tabletext"/>
              <w:snapToGrid w:val="0"/>
              <w:spacing w:before="0" w:after="0"/>
              <w:rPr>
                <w:rFonts w:eastAsia="Gulim"/>
                <w:szCs w:val="24"/>
              </w:rPr>
            </w:pPr>
            <w:r>
              <w:rPr>
                <w:rFonts w:eastAsia="Gulim"/>
                <w:szCs w:val="24"/>
              </w:rPr>
              <w:t xml:space="preserve">User plane latency </w:t>
            </w:r>
          </w:p>
        </w:tc>
        <w:tc>
          <w:tcPr>
            <w:tcW w:w="1805" w:type="dxa"/>
          </w:tcPr>
          <w:p w14:paraId="6AD32821" w14:textId="77777777" w:rsidR="000F77EA" w:rsidRDefault="00000000">
            <w:pPr>
              <w:pStyle w:val="Tabletext"/>
              <w:snapToGrid w:val="0"/>
              <w:spacing w:before="0" w:after="0"/>
              <w:rPr>
                <w:rFonts w:eastAsia="Gulim"/>
                <w:szCs w:val="24"/>
              </w:rPr>
            </w:pPr>
            <w:r>
              <w:rPr>
                <w:rFonts w:eastAsia="Gulim"/>
                <w:szCs w:val="24"/>
              </w:rPr>
              <w:t>(Quantitative)</w:t>
            </w:r>
          </w:p>
        </w:tc>
      </w:tr>
      <w:tr w:rsidR="000F77EA" w14:paraId="03F0EA5E" w14:textId="77777777">
        <w:trPr>
          <w:jc w:val="center"/>
        </w:trPr>
        <w:tc>
          <w:tcPr>
            <w:tcW w:w="4955" w:type="dxa"/>
          </w:tcPr>
          <w:p w14:paraId="36813F6E" w14:textId="77777777" w:rsidR="000F77EA" w:rsidRDefault="00000000">
            <w:pPr>
              <w:pStyle w:val="Tabletext"/>
              <w:snapToGrid w:val="0"/>
              <w:spacing w:before="0" w:after="0"/>
            </w:pPr>
            <w:r>
              <w:t xml:space="preserve">Energy Efficiency </w:t>
            </w:r>
          </w:p>
        </w:tc>
        <w:tc>
          <w:tcPr>
            <w:tcW w:w="1805" w:type="dxa"/>
          </w:tcPr>
          <w:p w14:paraId="176B2180" w14:textId="77777777" w:rsidR="000F77EA" w:rsidRDefault="00000000">
            <w:pPr>
              <w:pStyle w:val="Tabletext"/>
              <w:snapToGrid w:val="0"/>
              <w:spacing w:before="0" w:after="0"/>
            </w:pPr>
            <w:r>
              <w:rPr>
                <w:rFonts w:eastAsia="Gulim"/>
                <w:szCs w:val="24"/>
              </w:rPr>
              <w:t>(Quantitative)</w:t>
            </w:r>
          </w:p>
        </w:tc>
      </w:tr>
      <w:tr w:rsidR="000F77EA" w14:paraId="0D72854F" w14:textId="77777777">
        <w:trPr>
          <w:jc w:val="center"/>
        </w:trPr>
        <w:tc>
          <w:tcPr>
            <w:tcW w:w="4955" w:type="dxa"/>
          </w:tcPr>
          <w:p w14:paraId="4C5BDAD6" w14:textId="77777777" w:rsidR="000F77EA" w:rsidRDefault="00000000">
            <w:pPr>
              <w:pStyle w:val="Tabletext"/>
              <w:snapToGrid w:val="0"/>
              <w:spacing w:before="0" w:after="0"/>
            </w:pPr>
            <w:r>
              <w:t>Mobility</w:t>
            </w:r>
          </w:p>
        </w:tc>
        <w:tc>
          <w:tcPr>
            <w:tcW w:w="1805" w:type="dxa"/>
          </w:tcPr>
          <w:p w14:paraId="7AE7108A" w14:textId="77777777" w:rsidR="000F77EA" w:rsidRDefault="00000000">
            <w:pPr>
              <w:pStyle w:val="Tabletext"/>
              <w:snapToGrid w:val="0"/>
              <w:spacing w:before="0" w:after="0"/>
            </w:pPr>
            <w:r>
              <w:t xml:space="preserve"> </w:t>
            </w:r>
            <w:r>
              <w:rPr>
                <w:rFonts w:eastAsia="Gulim"/>
                <w:szCs w:val="24"/>
              </w:rPr>
              <w:t>(Quantitative)</w:t>
            </w:r>
          </w:p>
        </w:tc>
      </w:tr>
      <w:tr w:rsidR="000F77EA" w14:paraId="67B80649" w14:textId="77777777">
        <w:trPr>
          <w:jc w:val="center"/>
        </w:trPr>
        <w:tc>
          <w:tcPr>
            <w:tcW w:w="4955" w:type="dxa"/>
          </w:tcPr>
          <w:p w14:paraId="7D70CEE2" w14:textId="77777777" w:rsidR="000F77EA" w:rsidRDefault="00000000">
            <w:pPr>
              <w:pStyle w:val="Tabletext"/>
              <w:snapToGrid w:val="0"/>
              <w:spacing w:before="0" w:after="0"/>
              <w:rPr>
                <w:rFonts w:eastAsia="Gulim"/>
                <w:szCs w:val="24"/>
              </w:rPr>
            </w:pPr>
            <w:r>
              <w:rPr>
                <w:rFonts w:eastAsia="Gulim"/>
                <w:szCs w:val="24"/>
              </w:rPr>
              <w:t xml:space="preserve">Mobility interruption time </w:t>
            </w:r>
          </w:p>
        </w:tc>
        <w:tc>
          <w:tcPr>
            <w:tcW w:w="1805" w:type="dxa"/>
          </w:tcPr>
          <w:p w14:paraId="6BBDB43A" w14:textId="77777777" w:rsidR="000F77EA" w:rsidRDefault="00000000">
            <w:pPr>
              <w:pStyle w:val="Tabletext"/>
              <w:snapToGrid w:val="0"/>
              <w:spacing w:before="0" w:after="0"/>
            </w:pPr>
            <w:r>
              <w:rPr>
                <w:rFonts w:eastAsia="Gulim"/>
                <w:szCs w:val="24"/>
              </w:rPr>
              <w:t>(Quantitative)</w:t>
            </w:r>
          </w:p>
        </w:tc>
      </w:tr>
      <w:tr w:rsidR="000F77EA" w14:paraId="58BE174E" w14:textId="77777777">
        <w:trPr>
          <w:jc w:val="center"/>
        </w:trPr>
        <w:tc>
          <w:tcPr>
            <w:tcW w:w="4955" w:type="dxa"/>
          </w:tcPr>
          <w:p w14:paraId="19D60A0B" w14:textId="77777777" w:rsidR="000F77EA" w:rsidRDefault="00000000">
            <w:pPr>
              <w:pStyle w:val="Tabletext"/>
              <w:snapToGrid w:val="0"/>
              <w:spacing w:before="0" w:after="0"/>
              <w:rPr>
                <w:rFonts w:eastAsia="Gulim"/>
                <w:szCs w:val="24"/>
              </w:rPr>
            </w:pPr>
            <w:r>
              <w:rPr>
                <w:rFonts w:eastAsia="Gulim"/>
                <w:szCs w:val="24"/>
              </w:rPr>
              <w:t>Peak data rate</w:t>
            </w:r>
          </w:p>
        </w:tc>
        <w:tc>
          <w:tcPr>
            <w:tcW w:w="1805" w:type="dxa"/>
          </w:tcPr>
          <w:p w14:paraId="434C1493" w14:textId="77777777" w:rsidR="000F77EA" w:rsidRDefault="00000000">
            <w:pPr>
              <w:pStyle w:val="Tabletext"/>
              <w:snapToGrid w:val="0"/>
              <w:spacing w:before="0" w:after="0"/>
              <w:rPr>
                <w:rFonts w:eastAsia="Gulim"/>
                <w:szCs w:val="24"/>
              </w:rPr>
            </w:pPr>
            <w:r>
              <w:rPr>
                <w:rFonts w:eastAsia="Gulim"/>
                <w:szCs w:val="24"/>
              </w:rPr>
              <w:t>(Quantitative)</w:t>
            </w:r>
          </w:p>
        </w:tc>
      </w:tr>
      <w:tr w:rsidR="000F77EA" w14:paraId="53A42018" w14:textId="77777777">
        <w:trPr>
          <w:jc w:val="center"/>
        </w:trPr>
        <w:tc>
          <w:tcPr>
            <w:tcW w:w="4955" w:type="dxa"/>
          </w:tcPr>
          <w:p w14:paraId="0F90E541" w14:textId="77777777" w:rsidR="000F77EA" w:rsidRDefault="00000000">
            <w:pPr>
              <w:pStyle w:val="Tabletext"/>
              <w:snapToGrid w:val="0"/>
              <w:spacing w:before="0" w:after="0"/>
              <w:rPr>
                <w:rFonts w:eastAsia="Gulim"/>
                <w:szCs w:val="24"/>
              </w:rPr>
            </w:pPr>
            <w:r>
              <w:rPr>
                <w:rFonts w:eastAsia="Gulim"/>
                <w:szCs w:val="24"/>
              </w:rPr>
              <w:t>User Experienced Data Rate</w:t>
            </w:r>
          </w:p>
        </w:tc>
        <w:tc>
          <w:tcPr>
            <w:tcW w:w="1805" w:type="dxa"/>
          </w:tcPr>
          <w:p w14:paraId="44B7A0E4" w14:textId="77777777" w:rsidR="000F77EA" w:rsidRDefault="00000000">
            <w:pPr>
              <w:pStyle w:val="Tabletext"/>
              <w:snapToGrid w:val="0"/>
              <w:spacing w:before="0" w:after="0"/>
              <w:rPr>
                <w:rFonts w:eastAsia="Gulim"/>
                <w:szCs w:val="24"/>
              </w:rPr>
            </w:pPr>
            <w:r>
              <w:rPr>
                <w:rFonts w:eastAsia="Gulim"/>
                <w:szCs w:val="24"/>
              </w:rPr>
              <w:t>(Quantitative)</w:t>
            </w:r>
          </w:p>
        </w:tc>
      </w:tr>
      <w:tr w:rsidR="000F77EA" w14:paraId="28C96E93" w14:textId="77777777">
        <w:trPr>
          <w:jc w:val="center"/>
        </w:trPr>
        <w:tc>
          <w:tcPr>
            <w:tcW w:w="4955" w:type="dxa"/>
          </w:tcPr>
          <w:p w14:paraId="5A702DAE" w14:textId="77777777" w:rsidR="000F77EA" w:rsidRDefault="00000000">
            <w:pPr>
              <w:pStyle w:val="Tabletext"/>
              <w:snapToGrid w:val="0"/>
              <w:spacing w:before="0" w:after="0"/>
              <w:rPr>
                <w:rFonts w:eastAsia="Gulim"/>
                <w:szCs w:val="24"/>
              </w:rPr>
            </w:pPr>
            <w:r>
              <w:rPr>
                <w:rFonts w:eastAsia="Gulim"/>
                <w:szCs w:val="24"/>
              </w:rPr>
              <w:lastRenderedPageBreak/>
              <w:t>Sensing-related capabilities</w:t>
            </w:r>
          </w:p>
        </w:tc>
        <w:tc>
          <w:tcPr>
            <w:tcW w:w="1805" w:type="dxa"/>
          </w:tcPr>
          <w:p w14:paraId="1C955ACF" w14:textId="77777777" w:rsidR="000F77EA" w:rsidRDefault="00000000">
            <w:pPr>
              <w:pStyle w:val="Tabletext"/>
              <w:snapToGrid w:val="0"/>
              <w:spacing w:before="0" w:after="0"/>
              <w:rPr>
                <w:rFonts w:eastAsia="Gulim"/>
                <w:szCs w:val="24"/>
              </w:rPr>
            </w:pPr>
            <w:r>
              <w:rPr>
                <w:rFonts w:eastAsia="Gulim"/>
                <w:szCs w:val="24"/>
              </w:rPr>
              <w:t>(Quantitative)</w:t>
            </w:r>
          </w:p>
        </w:tc>
      </w:tr>
      <w:tr w:rsidR="000F77EA" w14:paraId="318AC386" w14:textId="77777777">
        <w:trPr>
          <w:jc w:val="center"/>
        </w:trPr>
        <w:tc>
          <w:tcPr>
            <w:tcW w:w="4955" w:type="dxa"/>
          </w:tcPr>
          <w:p w14:paraId="52A3B9CB" w14:textId="77777777" w:rsidR="000F77EA" w:rsidRDefault="00000000">
            <w:pPr>
              <w:pStyle w:val="Tabletext"/>
              <w:snapToGrid w:val="0"/>
              <w:spacing w:before="0" w:after="0"/>
              <w:rPr>
                <w:rFonts w:eastAsia="Gulim"/>
                <w:szCs w:val="24"/>
              </w:rPr>
            </w:pPr>
            <w:r>
              <w:rPr>
                <w:rFonts w:eastAsia="Gulim"/>
                <w:szCs w:val="24"/>
              </w:rPr>
              <w:t>Positioning</w:t>
            </w:r>
          </w:p>
        </w:tc>
        <w:tc>
          <w:tcPr>
            <w:tcW w:w="1805" w:type="dxa"/>
          </w:tcPr>
          <w:p w14:paraId="6E1B8A05" w14:textId="77777777" w:rsidR="000F77EA" w:rsidRDefault="00000000">
            <w:pPr>
              <w:pStyle w:val="Tabletext"/>
              <w:snapToGrid w:val="0"/>
              <w:spacing w:before="0" w:after="0"/>
              <w:rPr>
                <w:rFonts w:eastAsia="Gulim"/>
                <w:szCs w:val="24"/>
              </w:rPr>
            </w:pPr>
            <w:r>
              <w:rPr>
                <w:rFonts w:eastAsia="Gulim"/>
                <w:szCs w:val="24"/>
              </w:rPr>
              <w:t>(Quantitative)</w:t>
            </w:r>
          </w:p>
        </w:tc>
      </w:tr>
      <w:tr w:rsidR="000F77EA" w14:paraId="2510709A" w14:textId="77777777">
        <w:trPr>
          <w:jc w:val="center"/>
        </w:trPr>
        <w:tc>
          <w:tcPr>
            <w:tcW w:w="4955" w:type="dxa"/>
          </w:tcPr>
          <w:p w14:paraId="337BC020" w14:textId="77777777" w:rsidR="000F77EA" w:rsidRDefault="00000000">
            <w:pPr>
              <w:pStyle w:val="Tabletext"/>
              <w:snapToGrid w:val="0"/>
              <w:spacing w:before="0" w:after="0"/>
              <w:rPr>
                <w:rFonts w:eastAsia="Gulim"/>
                <w:szCs w:val="24"/>
              </w:rPr>
            </w:pPr>
            <w:r>
              <w:rPr>
                <w:rFonts w:eastAsia="Gulim"/>
                <w:szCs w:val="24"/>
              </w:rPr>
              <w:t>Reliability</w:t>
            </w:r>
          </w:p>
        </w:tc>
        <w:tc>
          <w:tcPr>
            <w:tcW w:w="1805" w:type="dxa"/>
          </w:tcPr>
          <w:p w14:paraId="2D865A4D" w14:textId="77777777" w:rsidR="000F77EA" w:rsidRDefault="00000000">
            <w:pPr>
              <w:pStyle w:val="Tabletext"/>
              <w:snapToGrid w:val="0"/>
              <w:spacing w:before="0" w:after="0"/>
              <w:rPr>
                <w:rFonts w:eastAsia="Gulim"/>
                <w:szCs w:val="24"/>
              </w:rPr>
            </w:pPr>
            <w:r>
              <w:rPr>
                <w:rFonts w:eastAsia="Gulim"/>
                <w:szCs w:val="24"/>
              </w:rPr>
              <w:t>(Quantitative)</w:t>
            </w:r>
          </w:p>
          <w:p w14:paraId="16430B2D" w14:textId="77777777" w:rsidR="000F77EA" w:rsidRDefault="00000000">
            <w:pPr>
              <w:pStyle w:val="Tabletext"/>
              <w:snapToGrid w:val="0"/>
              <w:spacing w:before="0" w:after="0"/>
              <w:rPr>
                <w:rFonts w:eastAsia="Gulim"/>
                <w:i/>
                <w:iCs/>
                <w:szCs w:val="24"/>
              </w:rPr>
            </w:pPr>
            <w:r>
              <w:rPr>
                <w:rFonts w:eastAsia="Gulim"/>
                <w:i/>
                <w:iCs/>
                <w:szCs w:val="24"/>
              </w:rPr>
              <w:t>(Note 2)</w:t>
            </w:r>
          </w:p>
        </w:tc>
      </w:tr>
      <w:tr w:rsidR="000F77EA" w14:paraId="3FA8571E" w14:textId="77777777">
        <w:trPr>
          <w:trHeight w:val="207"/>
          <w:jc w:val="center"/>
        </w:trPr>
        <w:tc>
          <w:tcPr>
            <w:tcW w:w="4955" w:type="dxa"/>
          </w:tcPr>
          <w:p w14:paraId="02BC80B7" w14:textId="77777777" w:rsidR="000F77EA" w:rsidRDefault="00000000">
            <w:pPr>
              <w:pStyle w:val="Tabletext"/>
              <w:snapToGrid w:val="0"/>
              <w:spacing w:before="0" w:after="0"/>
              <w:rPr>
                <w:rFonts w:eastAsia="Gulim"/>
              </w:rPr>
            </w:pPr>
            <w:r>
              <w:rPr>
                <w:rFonts w:eastAsia="Gulim"/>
                <w:szCs w:val="24"/>
              </w:rPr>
              <w:t>[Joint requirement on data rate, latency</w:t>
            </w:r>
            <w:r>
              <w:rPr>
                <w:rFonts w:eastAsia="Gulim"/>
              </w:rPr>
              <w:t>, reliability and capacity]</w:t>
            </w:r>
          </w:p>
        </w:tc>
        <w:tc>
          <w:tcPr>
            <w:tcW w:w="1805" w:type="dxa"/>
          </w:tcPr>
          <w:p w14:paraId="14A2ABDF" w14:textId="77777777" w:rsidR="000F77EA" w:rsidRDefault="00000000">
            <w:pPr>
              <w:pStyle w:val="Tabletext"/>
              <w:snapToGrid w:val="0"/>
              <w:spacing w:before="0" w:after="0"/>
              <w:rPr>
                <w:rFonts w:eastAsia="Gulim"/>
                <w:i/>
                <w:iCs/>
              </w:rPr>
            </w:pPr>
            <w:r>
              <w:rPr>
                <w:rFonts w:eastAsia="Gulim"/>
                <w:i/>
                <w:iCs/>
              </w:rPr>
              <w:t>To be determined</w:t>
            </w:r>
          </w:p>
        </w:tc>
      </w:tr>
      <w:tr w:rsidR="000F77EA" w14:paraId="34EB38D2" w14:textId="77777777">
        <w:trPr>
          <w:trHeight w:val="203"/>
          <w:jc w:val="center"/>
        </w:trPr>
        <w:tc>
          <w:tcPr>
            <w:tcW w:w="4955" w:type="dxa"/>
          </w:tcPr>
          <w:p w14:paraId="3822E0DB" w14:textId="77777777" w:rsidR="000F77EA" w:rsidRDefault="00000000">
            <w:pPr>
              <w:pStyle w:val="Tabletext"/>
              <w:snapToGrid w:val="0"/>
              <w:spacing w:before="0" w:after="0"/>
            </w:pPr>
            <w:r>
              <w:rPr>
                <w:rFonts w:eastAsia="Gulim"/>
              </w:rPr>
              <w:t>[</w:t>
            </w:r>
            <w:r>
              <w:rPr>
                <w:rFonts w:eastAsia="Gulim"/>
                <w:szCs w:val="24"/>
              </w:rPr>
              <w:t>Coverage</w:t>
            </w:r>
            <w:r>
              <w:rPr>
                <w:rFonts w:eastAsia="Gulim"/>
              </w:rPr>
              <w:t>]</w:t>
            </w:r>
          </w:p>
        </w:tc>
        <w:tc>
          <w:tcPr>
            <w:tcW w:w="1805" w:type="dxa"/>
          </w:tcPr>
          <w:p w14:paraId="2D190BEC" w14:textId="77777777" w:rsidR="000F77EA" w:rsidRDefault="00000000">
            <w:pPr>
              <w:pStyle w:val="Tabletext"/>
              <w:snapToGrid w:val="0"/>
              <w:spacing w:before="0" w:after="0"/>
              <w:rPr>
                <w:rFonts w:eastAsia="Gulim"/>
                <w:i/>
                <w:iCs/>
                <w:szCs w:val="24"/>
              </w:rPr>
            </w:pPr>
            <w:r>
              <w:rPr>
                <w:rFonts w:eastAsia="Gulim"/>
                <w:i/>
                <w:iCs/>
              </w:rPr>
              <w:t>To be determined</w:t>
            </w:r>
          </w:p>
        </w:tc>
      </w:tr>
      <w:tr w:rsidR="000F77EA" w14:paraId="63828A8D" w14:textId="77777777">
        <w:trPr>
          <w:trHeight w:val="203"/>
          <w:jc w:val="center"/>
        </w:trPr>
        <w:tc>
          <w:tcPr>
            <w:tcW w:w="4955" w:type="dxa"/>
          </w:tcPr>
          <w:p w14:paraId="3EEFB332" w14:textId="77777777" w:rsidR="000F77EA" w:rsidRDefault="00000000">
            <w:pPr>
              <w:pStyle w:val="Tabletext"/>
              <w:snapToGrid w:val="0"/>
              <w:spacing w:before="0" w:after="0"/>
            </w:pPr>
            <w:r>
              <w:t>[Security]</w:t>
            </w:r>
          </w:p>
        </w:tc>
        <w:tc>
          <w:tcPr>
            <w:tcW w:w="1805" w:type="dxa"/>
          </w:tcPr>
          <w:p w14:paraId="0CBA5604" w14:textId="77777777" w:rsidR="000F77EA" w:rsidRDefault="00000000">
            <w:pPr>
              <w:pStyle w:val="Tabletext"/>
              <w:snapToGrid w:val="0"/>
              <w:spacing w:before="0" w:after="0"/>
              <w:rPr>
                <w:rFonts w:eastAsia="Gulim"/>
                <w:i/>
                <w:iCs/>
                <w:szCs w:val="24"/>
              </w:rPr>
            </w:pPr>
            <w:r>
              <w:rPr>
                <w:rFonts w:eastAsia="Gulim"/>
                <w:i/>
                <w:iCs/>
              </w:rPr>
              <w:t>To be determined</w:t>
            </w:r>
          </w:p>
        </w:tc>
      </w:tr>
      <w:tr w:rsidR="000F77EA" w14:paraId="5DF0513C" w14:textId="77777777">
        <w:trPr>
          <w:trHeight w:val="203"/>
          <w:jc w:val="center"/>
        </w:trPr>
        <w:tc>
          <w:tcPr>
            <w:tcW w:w="4955" w:type="dxa"/>
          </w:tcPr>
          <w:p w14:paraId="220A3EC8" w14:textId="77777777" w:rsidR="000F77EA" w:rsidRDefault="00000000">
            <w:pPr>
              <w:pStyle w:val="Tabletext"/>
              <w:snapToGrid w:val="0"/>
              <w:spacing w:before="0" w:after="0"/>
              <w:rPr>
                <w:rFonts w:eastAsia="Gulim"/>
                <w:szCs w:val="24"/>
              </w:rPr>
            </w:pPr>
            <w:r>
              <w:t>[Resilience]</w:t>
            </w:r>
          </w:p>
        </w:tc>
        <w:tc>
          <w:tcPr>
            <w:tcW w:w="1805" w:type="dxa"/>
          </w:tcPr>
          <w:p w14:paraId="7E174649" w14:textId="77777777" w:rsidR="000F77EA" w:rsidRDefault="00000000">
            <w:pPr>
              <w:pStyle w:val="Tabletext"/>
              <w:snapToGrid w:val="0"/>
              <w:spacing w:before="0" w:after="0"/>
              <w:rPr>
                <w:rFonts w:eastAsia="Gulim"/>
                <w:i/>
                <w:iCs/>
                <w:szCs w:val="24"/>
              </w:rPr>
            </w:pPr>
            <w:r>
              <w:rPr>
                <w:rFonts w:eastAsia="Gulim"/>
                <w:i/>
                <w:iCs/>
              </w:rPr>
              <w:t>To be determined</w:t>
            </w:r>
          </w:p>
        </w:tc>
      </w:tr>
      <w:tr w:rsidR="000F77EA" w14:paraId="50F8A29B" w14:textId="77777777">
        <w:trPr>
          <w:trHeight w:val="203"/>
          <w:jc w:val="center"/>
        </w:trPr>
        <w:tc>
          <w:tcPr>
            <w:tcW w:w="4955" w:type="dxa"/>
          </w:tcPr>
          <w:p w14:paraId="6769483B" w14:textId="77777777" w:rsidR="000F77EA" w:rsidRDefault="00000000">
            <w:pPr>
              <w:pStyle w:val="Tabletext"/>
              <w:snapToGrid w:val="0"/>
              <w:spacing w:before="0" w:after="0"/>
              <w:rPr>
                <w:rFonts w:eastAsia="Gulim"/>
                <w:szCs w:val="24"/>
              </w:rPr>
            </w:pPr>
            <w:r>
              <w:t>[Sustainability]</w:t>
            </w:r>
          </w:p>
        </w:tc>
        <w:tc>
          <w:tcPr>
            <w:tcW w:w="1805" w:type="dxa"/>
          </w:tcPr>
          <w:p w14:paraId="4D04ECAE" w14:textId="77777777" w:rsidR="000F77EA" w:rsidRDefault="00000000">
            <w:pPr>
              <w:pStyle w:val="Tabletext"/>
              <w:snapToGrid w:val="0"/>
              <w:spacing w:before="0" w:after="0"/>
              <w:rPr>
                <w:rFonts w:eastAsia="Gulim"/>
                <w:i/>
                <w:iCs/>
                <w:szCs w:val="24"/>
              </w:rPr>
            </w:pPr>
            <w:r>
              <w:rPr>
                <w:rFonts w:eastAsia="Gulim"/>
                <w:i/>
                <w:iCs/>
              </w:rPr>
              <w:t>To be determined</w:t>
            </w:r>
          </w:p>
        </w:tc>
      </w:tr>
      <w:tr w:rsidR="000F77EA" w14:paraId="052EBF7F" w14:textId="77777777">
        <w:trPr>
          <w:trHeight w:val="203"/>
          <w:jc w:val="center"/>
        </w:trPr>
        <w:tc>
          <w:tcPr>
            <w:tcW w:w="4955" w:type="dxa"/>
          </w:tcPr>
          <w:p w14:paraId="6D82F484" w14:textId="77777777" w:rsidR="000F77EA" w:rsidRDefault="00000000">
            <w:pPr>
              <w:pStyle w:val="Tabletext"/>
              <w:snapToGrid w:val="0"/>
              <w:spacing w:before="0" w:after="0"/>
            </w:pPr>
            <w:r>
              <w:t>[Interoperability]</w:t>
            </w:r>
          </w:p>
        </w:tc>
        <w:tc>
          <w:tcPr>
            <w:tcW w:w="1805" w:type="dxa"/>
          </w:tcPr>
          <w:p w14:paraId="53EB4E7C" w14:textId="77777777" w:rsidR="000F77EA" w:rsidRDefault="00000000">
            <w:pPr>
              <w:pStyle w:val="Tabletext"/>
              <w:snapToGrid w:val="0"/>
              <w:spacing w:before="0" w:after="0"/>
              <w:rPr>
                <w:rFonts w:eastAsia="Gulim"/>
                <w:i/>
                <w:iCs/>
                <w:szCs w:val="24"/>
              </w:rPr>
            </w:pPr>
            <w:r>
              <w:rPr>
                <w:rFonts w:eastAsia="Gulim"/>
                <w:i/>
                <w:iCs/>
              </w:rPr>
              <w:t>To be determined</w:t>
            </w:r>
          </w:p>
        </w:tc>
      </w:tr>
    </w:tbl>
    <w:p w14:paraId="6D751372" w14:textId="77777777" w:rsidR="000F77EA" w:rsidRDefault="00000000">
      <w:pPr>
        <w:pStyle w:val="Note"/>
        <w:snapToGrid w:val="0"/>
        <w:rPr>
          <w:rFonts w:eastAsia="Tahoma"/>
          <w:i/>
          <w:iCs/>
          <w:sz w:val="20"/>
        </w:rPr>
      </w:pPr>
      <w:r>
        <w:rPr>
          <w:rFonts w:eastAsia="Tahoma"/>
          <w:i/>
          <w:iCs/>
          <w:sz w:val="20"/>
        </w:rPr>
        <w:t>Note 1: The evaluation technique for quantitative requirements is determined by SWG Eval (e.g., analysis, simulation, etc.).</w:t>
      </w:r>
    </w:p>
    <w:p w14:paraId="3F77F1FA" w14:textId="77777777" w:rsidR="000F77EA" w:rsidRDefault="00000000">
      <w:pPr>
        <w:pStyle w:val="Note"/>
        <w:snapToGrid w:val="0"/>
        <w:rPr>
          <w:rFonts w:eastAsia="Tahoma"/>
          <w:i/>
          <w:iCs/>
          <w:sz w:val="20"/>
        </w:rPr>
      </w:pPr>
      <w:r>
        <w:rPr>
          <w:rFonts w:eastAsia="Tahoma"/>
          <w:i/>
          <w:iCs/>
          <w:sz w:val="20"/>
        </w:rPr>
        <w:t>Note 2: The reliability requirement may be replaced by the “Joint Requirement” (if agreed).</w:t>
      </w:r>
    </w:p>
    <w:p w14:paraId="778ADD82" w14:textId="77777777" w:rsidR="000F77EA" w:rsidRDefault="000F77EA">
      <w:pPr>
        <w:spacing w:line="276" w:lineRule="auto"/>
        <w:rPr>
          <w:rFonts w:ascii="Times New Roman" w:hAnsi="Times New Roman" w:cs="Times New Roman"/>
          <w:lang w:eastAsia="en-US"/>
        </w:rPr>
      </w:pPr>
    </w:p>
    <w:p w14:paraId="2560AE54" w14:textId="77777777" w:rsidR="000F77EA" w:rsidRDefault="00000000">
      <w:pPr>
        <w:spacing w:line="276" w:lineRule="auto"/>
        <w:rPr>
          <w:rFonts w:ascii="Times New Roman" w:hAnsi="Times New Roman" w:cs="Times New Roman"/>
        </w:rPr>
      </w:pPr>
      <w:r>
        <w:rPr>
          <w:rFonts w:ascii="Times New Roman" w:hAnsi="Times New Roman" w:cs="Times New Roman"/>
          <w:lang w:eastAsia="en-US"/>
        </w:rPr>
        <w:t xml:space="preserve">On top of the above agreed list from ITU-R WP5D, </w:t>
      </w:r>
      <w:r>
        <w:rPr>
          <w:rFonts w:ascii="Times New Roman" w:hAnsi="Times New Roman" w:cs="Times New Roman" w:hint="eastAsia"/>
        </w:rPr>
        <w:t xml:space="preserve">RAN 107 also agreed to define a composite requirement on data rate, latency, reliability and capacity. Whether to define interoperability, coverage, </w:t>
      </w:r>
      <w:r>
        <w:rPr>
          <w:rFonts w:ascii="Times New Roman" w:hAnsi="Times New Roman" w:cs="Times New Roman"/>
        </w:rPr>
        <w:t>resilience</w:t>
      </w:r>
      <w:r>
        <w:rPr>
          <w:rFonts w:ascii="Times New Roman" w:hAnsi="Times New Roman" w:cs="Times New Roman" w:hint="eastAsia"/>
        </w:rPr>
        <w:t xml:space="preserve">, security, and a broader sustainability beyond energy efficiency is still under discussion in RAN </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REF _Ref195879845 \r \h</w:instrText>
      </w:r>
      <w:r>
        <w:rPr>
          <w:rFonts w:ascii="Times New Roman" w:hAnsi="Times New Roman" w:cs="Times New Roman"/>
        </w:rPr>
        <w:instrText xml:space="preserve">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r>
        <w:rPr>
          <w:rFonts w:ascii="Times New Roman" w:hAnsi="Times New Roman" w:cs="Times New Roman" w:hint="eastAsia"/>
        </w:rPr>
        <w:t>.</w:t>
      </w:r>
    </w:p>
    <w:p w14:paraId="090C87CA" w14:textId="77777777" w:rsidR="000F77EA" w:rsidRDefault="00000000">
      <w:pPr>
        <w:spacing w:line="276" w:lineRule="auto"/>
        <w:rPr>
          <w:rFonts w:ascii="Times New Roman" w:hAnsi="Times New Roman" w:cs="Times New Roman"/>
        </w:rPr>
      </w:pPr>
      <w:r>
        <w:rPr>
          <w:rFonts w:ascii="Times New Roman" w:hAnsi="Times New Roman" w:cs="Times New Roman"/>
        </w:rPr>
        <w:t xml:space="preserve">Coverage refers to the ability to provide access to communication services for users in a desired service area. </w:t>
      </w:r>
      <w:r>
        <w:rPr>
          <w:rFonts w:ascii="Times New Roman" w:hAnsi="Times New Roman" w:cs="Times New Roman" w:hint="eastAsia"/>
        </w:rPr>
        <w:t xml:space="preserve">This concept does not need to be explicitly defined as a TPR, but can already be reflected by existing communication TPRs. </w:t>
      </w:r>
      <w:r>
        <w:rPr>
          <w:rFonts w:ascii="Times New Roman" w:hAnsi="Times New Roman" w:cs="Times New Roman"/>
        </w:rPr>
        <w:t>Similar as IMT-2020, there is no need to define TPR for coverage and instead link budget can be provided in submission template.</w:t>
      </w:r>
    </w:p>
    <w:p w14:paraId="40C1F77F" w14:textId="77777777" w:rsidR="000F77EA" w:rsidRDefault="00000000">
      <w:pPr>
        <w:spacing w:line="276" w:lineRule="auto"/>
        <w:rPr>
          <w:rFonts w:ascii="Times New Roman" w:hAnsi="Times New Roman" w:cs="Times New Roman"/>
        </w:rPr>
      </w:pPr>
      <w:r>
        <w:rPr>
          <w:rFonts w:ascii="Times New Roman" w:hAnsi="Times New Roman" w:cs="Times New Roman"/>
        </w:rPr>
        <w:t xml:space="preserve">For security, resilience and interoperability, </w:t>
      </w:r>
      <w:r>
        <w:rPr>
          <w:rFonts w:ascii="Times New Roman" w:hAnsi="Times New Roman" w:cs="Times New Roman" w:hint="eastAsia"/>
        </w:rPr>
        <w:t xml:space="preserve">there are already some descriptions in the IMT-2020 </w:t>
      </w:r>
      <w:r>
        <w:rPr>
          <w:rFonts w:ascii="Times New Roman" w:hAnsi="Times New Roman" w:cs="Times New Roman"/>
        </w:rPr>
        <w:t>submission template</w:t>
      </w:r>
      <w:r>
        <w:rPr>
          <w:rFonts w:ascii="Times New Roman" w:hAnsi="Times New Roman" w:cs="Times New Roman" w:hint="eastAsia"/>
        </w:rPr>
        <w:t>. If needed, more questions can be added to address the new trends in IMT-2030.</w:t>
      </w:r>
      <w:r>
        <w:rPr>
          <w:rFonts w:ascii="Times New Roman" w:hAnsi="Times New Roman" w:cs="Times New Roman"/>
        </w:rPr>
        <w:t xml:space="preserve"> </w:t>
      </w:r>
      <w:r>
        <w:rPr>
          <w:rFonts w:ascii="Times New Roman" w:hAnsi="Times New Roman" w:cs="Times New Roman" w:hint="eastAsia"/>
        </w:rPr>
        <w:t>A TPR would need a clear definition and a clear pass-fail criterion, which we don</w:t>
      </w:r>
      <w:r>
        <w:rPr>
          <w:rFonts w:ascii="Times New Roman" w:hAnsi="Times New Roman" w:cs="Times New Roman"/>
        </w:rPr>
        <w:t>’</w:t>
      </w:r>
      <w:r>
        <w:rPr>
          <w:rFonts w:ascii="Times New Roman" w:hAnsi="Times New Roman" w:cs="Times New Roman" w:hint="eastAsia"/>
        </w:rPr>
        <w:t>t believe these three aspects have</w:t>
      </w:r>
      <w:r>
        <w:rPr>
          <w:rFonts w:ascii="Times New Roman" w:hAnsi="Times New Roman" w:cs="Times New Roman"/>
        </w:rPr>
        <w:t>.</w:t>
      </w:r>
    </w:p>
    <w:p w14:paraId="6C4095EE" w14:textId="77777777" w:rsidR="000F77EA" w:rsidRDefault="00000000">
      <w:pPr>
        <w:spacing w:line="276" w:lineRule="auto"/>
        <w:rPr>
          <w:rFonts w:ascii="Times New Roman" w:hAnsi="Times New Roman" w:cs="Times New Roman"/>
          <w:b/>
        </w:rPr>
      </w:pPr>
      <w:r>
        <w:rPr>
          <w:rFonts w:ascii="Times New Roman" w:hAnsi="Times New Roman" w:cs="Times New Roman"/>
          <w:b/>
        </w:rPr>
        <w:t xml:space="preserve">Proposal </w:t>
      </w:r>
      <w:r>
        <w:rPr>
          <w:rFonts w:ascii="Times New Roman" w:hAnsi="Times New Roman" w:cs="Times New Roman"/>
          <w:b/>
        </w:rPr>
        <w:fldChar w:fldCharType="begin"/>
      </w:r>
      <w:r>
        <w:rPr>
          <w:rFonts w:ascii="Times New Roman" w:hAnsi="Times New Roman" w:cs="Times New Roman"/>
          <w:b/>
        </w:rPr>
        <w:instrText xml:space="preserve"> SEQ Proposal \* ARABIC </w:instrText>
      </w:r>
      <w:r>
        <w:rPr>
          <w:rFonts w:ascii="Times New Roman" w:hAnsi="Times New Roman" w:cs="Times New Roman"/>
          <w:b/>
        </w:rPr>
        <w:fldChar w:fldCharType="separate"/>
      </w:r>
      <w:r>
        <w:rPr>
          <w:rFonts w:ascii="Times New Roman" w:hAnsi="Times New Roman" w:cs="Times New Roman"/>
          <w:b/>
        </w:rPr>
        <w:t>1</w:t>
      </w:r>
      <w:r>
        <w:rPr>
          <w:rFonts w:ascii="Times New Roman" w:hAnsi="Times New Roman" w:cs="Times New Roman"/>
          <w:b/>
        </w:rPr>
        <w:fldChar w:fldCharType="end"/>
      </w:r>
      <w:r>
        <w:rPr>
          <w:rFonts w:ascii="Times New Roman" w:hAnsi="Times New Roman" w:cs="Times New Roman"/>
          <w:b/>
        </w:rPr>
        <w:t>:</w:t>
      </w:r>
      <w:r>
        <w:rPr>
          <w:rFonts w:ascii="Times New Roman" w:hAnsi="Times New Roman" w:cs="Times New Roman" w:hint="eastAsia"/>
          <w:b/>
        </w:rPr>
        <w:t xml:space="preserve"> </w:t>
      </w:r>
      <w:r>
        <w:rPr>
          <w:rFonts w:ascii="Times New Roman" w:hAnsi="Times New Roman" w:cs="Times New Roman"/>
          <w:b/>
        </w:rPr>
        <w:t>Do not define TPR(s) for coverage, security, resilience and interoperability.</w:t>
      </w:r>
    </w:p>
    <w:p w14:paraId="04C4C0A7" w14:textId="77777777" w:rsidR="000F77EA" w:rsidRDefault="00000000">
      <w:pPr>
        <w:spacing w:line="276" w:lineRule="auto"/>
        <w:rPr>
          <w:rFonts w:ascii="Times New Roman" w:hAnsi="Times New Roman" w:cs="Times New Roman"/>
        </w:rPr>
      </w:pPr>
      <w:r>
        <w:rPr>
          <w:rFonts w:ascii="Times New Roman" w:hAnsi="Times New Roman" w:cs="Times New Roman" w:hint="eastAsia"/>
        </w:rPr>
        <w:t xml:space="preserve">As reflected by research literatures </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REF _Ref196123671 \r \h</w:instrText>
      </w:r>
      <w:r>
        <w:rPr>
          <w:rFonts w:ascii="Times New Roman" w:hAnsi="Times New Roman" w:cs="Times New Roman"/>
        </w:rPr>
        <w:instrText xml:space="preserve">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hint="eastAsia"/>
        </w:rPr>
        <w:t>, there are potentially many technology enablers that can help 6G to achieve higher data rates, lower latency and higher reliability compared to 5G. However, 3GPP 6G day-1 features are still under discussions without formal conclusions. What</w:t>
      </w:r>
      <w:r>
        <w:rPr>
          <w:rFonts w:ascii="Times New Roman" w:hAnsi="Times New Roman" w:cs="Times New Roman"/>
        </w:rPr>
        <w:t>’</w:t>
      </w:r>
      <w:r>
        <w:rPr>
          <w:rFonts w:ascii="Times New Roman" w:hAnsi="Times New Roman" w:cs="Times New Roman" w:hint="eastAsia"/>
        </w:rPr>
        <w:t xml:space="preserve">s more, the TPR values significantly rely on the test environments (TEs) as well as detailed configurations, and although most people expect that 5G TEs will still be relevant and likely to inherit to 6G, there is yet no formal agreement on that either. Thus, we propose the values for TPRs as follows based on demands. By checking the 3GPP SA1 TR 22.870 </w:t>
      </w:r>
      <w:r>
        <w:rPr>
          <w:rFonts w:ascii="Times New Roman" w:hAnsi="Times New Roman" w:cs="Times New Roman"/>
        </w:rPr>
        <w:t>“Study on 6G Use Cases and Service Requirements”</w:t>
      </w:r>
      <w:r>
        <w:rPr>
          <w:rFonts w:ascii="Times New Roman" w:hAnsi="Times New Roman" w:cs="Times New Roman" w:hint="eastAsia"/>
        </w:rPr>
        <w:t xml:space="preserve"> </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REF _Ref196123901 \r \h</w:instrText>
      </w:r>
      <w:r>
        <w:rPr>
          <w:rFonts w:ascii="Times New Roman" w:hAnsi="Times New Roman" w:cs="Times New Roman"/>
        </w:rPr>
        <w:instrText xml:space="preserve">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[12]</w:t>
      </w:r>
      <w:r>
        <w:rPr>
          <w:rFonts w:ascii="Times New Roman" w:hAnsi="Times New Roman" w:cs="Times New Roman"/>
        </w:rPr>
        <w:fldChar w:fldCharType="end"/>
      </w:r>
      <w:r>
        <w:rPr>
          <w:rFonts w:ascii="Times New Roman" w:hAnsi="Times New Roman" w:cs="Times New Roman" w:hint="eastAsia"/>
        </w:rPr>
        <w:t>, we can get a clear idea on what use cases 6G needs to be support and what are the demanding TPRs.</w:t>
      </w:r>
    </w:p>
    <w:p w14:paraId="0B1F7D72" w14:textId="77777777" w:rsidR="000F77EA" w:rsidRDefault="00000000">
      <w:pPr>
        <w:spacing w:line="276" w:lineRule="auto"/>
        <w:rPr>
          <w:rFonts w:ascii="Times New Roman" w:hAnsi="Times New Roman" w:cs="Times New Roman"/>
          <w:b/>
        </w:rPr>
      </w:pPr>
      <w:bookmarkStart w:id="3" w:name="_Ref32606461"/>
      <w:r>
        <w:rPr>
          <w:rFonts w:ascii="Times New Roman" w:hAnsi="Times New Roman" w:cs="Times New Roman"/>
          <w:b/>
        </w:rPr>
        <w:t xml:space="preserve">Proposal </w:t>
      </w:r>
      <w:r>
        <w:rPr>
          <w:rFonts w:ascii="Times New Roman" w:hAnsi="Times New Roman" w:cs="Times New Roman"/>
          <w:b/>
        </w:rPr>
        <w:fldChar w:fldCharType="begin"/>
      </w:r>
      <w:r>
        <w:rPr>
          <w:rFonts w:ascii="Times New Roman" w:hAnsi="Times New Roman" w:cs="Times New Roman"/>
          <w:b/>
        </w:rPr>
        <w:instrText xml:space="preserve"> SEQ Proposal \* ARABIC </w:instrText>
      </w:r>
      <w:r>
        <w:rPr>
          <w:rFonts w:ascii="Times New Roman" w:hAnsi="Times New Roman" w:cs="Times New Roman"/>
          <w:b/>
        </w:rPr>
        <w:fldChar w:fldCharType="separate"/>
      </w:r>
      <w:r>
        <w:rPr>
          <w:rFonts w:ascii="Times New Roman" w:hAnsi="Times New Roman" w:cs="Times New Roman"/>
          <w:b/>
        </w:rPr>
        <w:t>2</w:t>
      </w:r>
      <w:r>
        <w:rPr>
          <w:rFonts w:ascii="Times New Roman" w:hAnsi="Times New Roman" w:cs="Times New Roman"/>
          <w:b/>
        </w:rPr>
        <w:fldChar w:fldCharType="end"/>
      </w:r>
      <w:r>
        <w:rPr>
          <w:rFonts w:ascii="Times New Roman" w:hAnsi="Times New Roman" w:cs="Times New Roman"/>
          <w:b/>
        </w:rPr>
        <w:t xml:space="preserve">: </w:t>
      </w:r>
      <w:r>
        <w:rPr>
          <w:rFonts w:ascii="Times New Roman" w:hAnsi="Times New Roman" w:cs="Times New Roman" w:hint="eastAsia"/>
          <w:b/>
        </w:rPr>
        <w:t>Define the values for the list of TPRs as in the table below to satisfy use cases agreed by SA1</w:t>
      </w:r>
      <w:r>
        <w:rPr>
          <w:rFonts w:ascii="Times New Roman" w:hAnsi="Times New Roman" w:cs="Times New Roman"/>
          <w:b/>
        </w:rPr>
        <w:t>.</w:t>
      </w:r>
      <w:bookmarkEnd w:id="3"/>
    </w:p>
    <w:p w14:paraId="521C296C" w14:textId="77777777" w:rsidR="000F77EA" w:rsidRDefault="00000000">
      <w:pPr>
        <w:snapToGrid w:val="0"/>
        <w:spacing w:line="276" w:lineRule="auto"/>
        <w:jc w:val="center"/>
        <w:rPr>
          <w:rFonts w:eastAsia="宋体"/>
        </w:rPr>
      </w:pPr>
      <w:r>
        <w:rPr>
          <w:rFonts w:eastAsia="宋体" w:hint="eastAsia"/>
        </w:rPr>
        <w:t>T</w:t>
      </w:r>
      <w:r>
        <w:rPr>
          <w:rFonts w:eastAsia="宋体"/>
        </w:rPr>
        <w:t xml:space="preserve">arget values </w:t>
      </w:r>
      <w:r>
        <w:rPr>
          <w:rFonts w:eastAsia="宋体" w:hint="eastAsia"/>
        </w:rPr>
        <w:t>for</w:t>
      </w:r>
      <w:r>
        <w:rPr>
          <w:rFonts w:eastAsia="宋体"/>
        </w:rPr>
        <w:t xml:space="preserve"> TPRs </w:t>
      </w:r>
      <w:r>
        <w:rPr>
          <w:rFonts w:eastAsia="宋体" w:hint="eastAsia"/>
        </w:rPr>
        <w:t>toward</w:t>
      </w:r>
      <w:r>
        <w:rPr>
          <w:rFonts w:eastAsia="宋体"/>
        </w:rPr>
        <w:t xml:space="preserve"> IMT-2030</w:t>
      </w:r>
    </w:p>
    <w:tbl>
      <w:tblPr>
        <w:tblW w:w="5000" w:type="pct"/>
        <w:jc w:val="center"/>
        <w:tblCellMar>
          <w:left w:w="0" w:type="dxa"/>
          <w:right w:w="0" w:type="dxa"/>
        </w:tblCellMar>
        <w:tblLook w:val="04A0" w:firstRow="1" w:lastRow="0" w:firstColumn="1" w:lastColumn="0" w:noHBand="0" w:noVBand="1"/>
      </w:tblPr>
      <w:tblGrid>
        <w:gridCol w:w="2218"/>
        <w:gridCol w:w="1922"/>
        <w:gridCol w:w="1842"/>
        <w:gridCol w:w="1842"/>
        <w:gridCol w:w="1838"/>
      </w:tblGrid>
      <w:tr w:rsidR="000F77EA" w14:paraId="6068560E"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1D6DF81E" w14:textId="77777777" w:rsidR="000F77EA" w:rsidRDefault="00000000">
            <w:pPr>
              <w:snapToGrid w:val="0"/>
              <w:rPr>
                <w:rFonts w:eastAsia="宋体"/>
                <w:b/>
                <w:bCs/>
                <w:sz w:val="20"/>
              </w:rPr>
            </w:pPr>
            <w:r>
              <w:rPr>
                <w:rFonts w:eastAsia="宋体"/>
                <w:b/>
                <w:bCs/>
                <w:sz w:val="20"/>
              </w:rPr>
              <w:t>ITU candidate TPR</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1ED44F3F" w14:textId="77777777" w:rsidR="000F77EA" w:rsidRDefault="00000000">
            <w:pPr>
              <w:snapToGrid w:val="0"/>
              <w:rPr>
                <w:rFonts w:eastAsia="宋体"/>
                <w:b/>
                <w:sz w:val="20"/>
              </w:rPr>
            </w:pPr>
            <w:r>
              <w:rPr>
                <w:rFonts w:eastAsia="宋体"/>
                <w:b/>
                <w:sz w:val="20"/>
              </w:rPr>
              <w:t>Target value of IMT</w:t>
            </w:r>
            <w:r>
              <w:rPr>
                <w:rFonts w:eastAsia="宋体" w:hint="eastAsia"/>
                <w:b/>
                <w:sz w:val="20"/>
              </w:rPr>
              <w:t>-</w:t>
            </w:r>
            <w:r>
              <w:rPr>
                <w:rFonts w:eastAsia="宋体"/>
                <w:b/>
                <w:sz w:val="20"/>
              </w:rPr>
              <w:t>2030</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1F0EE24" w14:textId="77777777" w:rsidR="000F77EA" w:rsidRDefault="00000000">
            <w:pPr>
              <w:snapToGrid w:val="0"/>
              <w:rPr>
                <w:rFonts w:eastAsia="宋体"/>
                <w:b/>
                <w:sz w:val="20"/>
              </w:rPr>
            </w:pPr>
            <w:r>
              <w:rPr>
                <w:rFonts w:eastAsia="宋体"/>
                <w:b/>
                <w:sz w:val="20"/>
              </w:rPr>
              <w:t>Notes</w:t>
            </w:r>
          </w:p>
        </w:tc>
        <w:tc>
          <w:tcPr>
            <w:tcW w:w="953" w:type="pct"/>
            <w:tcBorders>
              <w:top w:val="single" w:sz="6" w:space="0" w:color="auto"/>
              <w:left w:val="nil"/>
              <w:bottom w:val="single" w:sz="6" w:space="0" w:color="auto"/>
              <w:right w:val="single" w:sz="6" w:space="0" w:color="auto"/>
            </w:tcBorders>
            <w:shd w:val="clear" w:color="auto" w:fill="FFFFFF"/>
            <w:vAlign w:val="center"/>
          </w:tcPr>
          <w:p w14:paraId="22ECB525" w14:textId="77777777" w:rsidR="000F77EA" w:rsidRDefault="00000000">
            <w:pPr>
              <w:snapToGrid w:val="0"/>
              <w:rPr>
                <w:rFonts w:eastAsia="宋体"/>
                <w:sz w:val="20"/>
              </w:rPr>
            </w:pPr>
            <w:r>
              <w:rPr>
                <w:rFonts w:eastAsia="宋体"/>
                <w:b/>
                <w:bCs/>
                <w:sz w:val="20"/>
              </w:rPr>
              <w:t>Target value of IMT</w:t>
            </w:r>
            <w:r>
              <w:rPr>
                <w:rFonts w:eastAsia="宋体" w:hint="eastAsia"/>
                <w:b/>
                <w:bCs/>
                <w:sz w:val="20"/>
              </w:rPr>
              <w:t>-</w:t>
            </w:r>
            <w:r>
              <w:rPr>
                <w:rFonts w:eastAsia="宋体"/>
                <w:b/>
                <w:bCs/>
                <w:sz w:val="20"/>
              </w:rPr>
              <w:t>2020</w:t>
            </w:r>
          </w:p>
        </w:tc>
        <w:tc>
          <w:tcPr>
            <w:tcW w:w="952" w:type="pct"/>
            <w:tcBorders>
              <w:top w:val="single" w:sz="6" w:space="0" w:color="auto"/>
              <w:left w:val="nil"/>
              <w:bottom w:val="single" w:sz="6" w:space="0" w:color="auto"/>
              <w:right w:val="single" w:sz="6" w:space="0" w:color="auto"/>
            </w:tcBorders>
            <w:shd w:val="clear" w:color="auto" w:fill="FFFFFF"/>
          </w:tcPr>
          <w:p w14:paraId="6DEE0CA7" w14:textId="77777777" w:rsidR="000F77EA" w:rsidRDefault="00000000">
            <w:pPr>
              <w:snapToGrid w:val="0"/>
              <w:rPr>
                <w:rFonts w:eastAsia="宋体"/>
                <w:b/>
                <w:bCs/>
                <w:sz w:val="20"/>
              </w:rPr>
            </w:pPr>
            <w:r>
              <w:rPr>
                <w:rFonts w:eastAsia="宋体" w:hint="eastAsia"/>
                <w:b/>
                <w:bCs/>
                <w:sz w:val="20"/>
              </w:rPr>
              <w:t>Demanding use cases in IMT-2030</w:t>
            </w:r>
          </w:p>
        </w:tc>
      </w:tr>
      <w:tr w:rsidR="000F77EA" w14:paraId="7F7D1124" w14:textId="77777777">
        <w:trPr>
          <w:trHeight w:val="595"/>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1DBA4CCD" w14:textId="77777777" w:rsidR="000F77EA" w:rsidRDefault="00000000">
            <w:pPr>
              <w:snapToGrid w:val="0"/>
              <w:rPr>
                <w:rFonts w:eastAsia="宋体"/>
                <w:sz w:val="18"/>
                <w:szCs w:val="18"/>
              </w:rPr>
            </w:pPr>
            <w:r>
              <w:rPr>
                <w:rFonts w:eastAsia="宋体"/>
                <w:sz w:val="18"/>
                <w:szCs w:val="18"/>
              </w:rPr>
              <w:t>Peak data rate</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F2115AA" w14:textId="77777777" w:rsidR="000F77EA" w:rsidRDefault="00000000">
            <w:pPr>
              <w:snapToGrid w:val="0"/>
              <w:rPr>
                <w:rFonts w:eastAsia="宋体"/>
                <w:sz w:val="18"/>
                <w:szCs w:val="18"/>
              </w:rPr>
            </w:pPr>
            <w:r>
              <w:rPr>
                <w:rFonts w:eastAsia="宋体"/>
                <w:sz w:val="18"/>
                <w:szCs w:val="18"/>
              </w:rPr>
              <w:t>DL: 100, UL: 50 Gbit/s.</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348CF49" w14:textId="77777777" w:rsidR="000F77EA" w:rsidRDefault="00000000">
            <w:pPr>
              <w:snapToGrid w:val="0"/>
              <w:rPr>
                <w:rFonts w:eastAsia="宋体"/>
                <w:sz w:val="18"/>
                <w:szCs w:val="18"/>
              </w:rPr>
            </w:pPr>
            <w:r>
              <w:rPr>
                <w:rFonts w:eastAsia="宋体"/>
                <w:sz w:val="18"/>
                <w:szCs w:val="18"/>
              </w:rPr>
              <w:t>5xIMT-2020</w:t>
            </w:r>
          </w:p>
          <w:p w14:paraId="1B44E3A9" w14:textId="77777777" w:rsidR="000F77EA" w:rsidRDefault="00000000">
            <w:pPr>
              <w:snapToGrid w:val="0"/>
              <w:rPr>
                <w:rFonts w:eastAsia="宋体"/>
                <w:sz w:val="18"/>
                <w:szCs w:val="18"/>
              </w:rPr>
            </w:pPr>
            <w:r>
              <w:rPr>
                <w:rFonts w:eastAsia="宋体"/>
                <w:sz w:val="18"/>
                <w:szCs w:val="18"/>
              </w:rPr>
              <w:t>Related to the increase of bandwidth, number of antenna</w:t>
            </w:r>
            <w:r>
              <w:rPr>
                <w:rFonts w:eastAsia="宋体" w:hint="eastAsia"/>
                <w:sz w:val="18"/>
                <w:szCs w:val="18"/>
              </w:rPr>
              <w:t>s</w:t>
            </w:r>
            <w:r>
              <w:rPr>
                <w:rFonts w:eastAsia="宋体"/>
                <w:sz w:val="18"/>
                <w:szCs w:val="18"/>
              </w:rPr>
              <w:t>, modulation order, etc</w:t>
            </w:r>
          </w:p>
        </w:tc>
        <w:tc>
          <w:tcPr>
            <w:tcW w:w="953" w:type="pct"/>
            <w:tcBorders>
              <w:top w:val="single" w:sz="6" w:space="0" w:color="auto"/>
              <w:left w:val="nil"/>
              <w:bottom w:val="single" w:sz="6" w:space="0" w:color="auto"/>
              <w:right w:val="single" w:sz="6" w:space="0" w:color="auto"/>
            </w:tcBorders>
            <w:shd w:val="clear" w:color="auto" w:fill="FFFFFF"/>
            <w:vAlign w:val="center"/>
          </w:tcPr>
          <w:p w14:paraId="3CDE9075" w14:textId="77777777" w:rsidR="000F77EA" w:rsidRDefault="00000000">
            <w:pPr>
              <w:snapToGrid w:val="0"/>
              <w:rPr>
                <w:rFonts w:eastAsia="宋体"/>
                <w:sz w:val="18"/>
                <w:szCs w:val="18"/>
              </w:rPr>
            </w:pPr>
            <w:r>
              <w:rPr>
                <w:rFonts w:eastAsia="宋体"/>
                <w:sz w:val="18"/>
                <w:szCs w:val="18"/>
              </w:rPr>
              <w:t>– Downlink peak data rate is 20 Gbit/s.</w:t>
            </w:r>
            <w:r>
              <w:rPr>
                <w:rFonts w:eastAsia="宋体"/>
                <w:sz w:val="18"/>
                <w:szCs w:val="18"/>
              </w:rPr>
              <w:br/>
              <w:t>– Uplink peak data rate is 10 Gbit/s.</w:t>
            </w:r>
          </w:p>
        </w:tc>
        <w:tc>
          <w:tcPr>
            <w:tcW w:w="952" w:type="pct"/>
            <w:tcBorders>
              <w:top w:val="single" w:sz="6" w:space="0" w:color="auto"/>
              <w:left w:val="nil"/>
              <w:bottom w:val="single" w:sz="6" w:space="0" w:color="auto"/>
              <w:right w:val="single" w:sz="6" w:space="0" w:color="auto"/>
            </w:tcBorders>
            <w:shd w:val="clear" w:color="auto" w:fill="FFFFFF"/>
          </w:tcPr>
          <w:p w14:paraId="41589C9D" w14:textId="77777777" w:rsidR="000F77EA" w:rsidRDefault="00000000">
            <w:pPr>
              <w:snapToGrid w:val="0"/>
              <w:rPr>
                <w:rFonts w:eastAsia="宋体"/>
                <w:sz w:val="18"/>
                <w:szCs w:val="18"/>
              </w:rPr>
            </w:pPr>
            <w:r>
              <w:rPr>
                <w:rFonts w:eastAsia="宋体" w:hint="eastAsia"/>
                <w:sz w:val="18"/>
                <w:szCs w:val="18"/>
              </w:rPr>
              <w:t>H</w:t>
            </w:r>
            <w:r>
              <w:rPr>
                <w:rFonts w:eastAsia="宋体"/>
                <w:sz w:val="18"/>
                <w:szCs w:val="18"/>
              </w:rPr>
              <w:t>olographic communication</w:t>
            </w:r>
            <w:r>
              <w:rPr>
                <w:rFonts w:eastAsia="宋体" w:hint="eastAsia"/>
                <w:sz w:val="18"/>
                <w:szCs w:val="18"/>
              </w:rPr>
              <w:t>:</w:t>
            </w:r>
            <w:r>
              <w:rPr>
                <w:rFonts w:eastAsia="宋体"/>
                <w:sz w:val="18"/>
                <w:szCs w:val="18"/>
              </w:rPr>
              <w:t xml:space="preserve"> '100 Gbps range or beyond' (9.7, 22.870)</w:t>
            </w:r>
          </w:p>
        </w:tc>
      </w:tr>
      <w:tr w:rsidR="000F77EA" w14:paraId="56DD74BA" w14:textId="77777777">
        <w:trPr>
          <w:trHeight w:val="595"/>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7C0797AC" w14:textId="77777777" w:rsidR="000F77EA" w:rsidRDefault="00000000">
            <w:pPr>
              <w:snapToGrid w:val="0"/>
              <w:rPr>
                <w:rFonts w:eastAsia="宋体"/>
                <w:sz w:val="18"/>
                <w:szCs w:val="18"/>
              </w:rPr>
            </w:pPr>
            <w:r>
              <w:rPr>
                <w:rFonts w:eastAsia="宋体"/>
                <w:sz w:val="18"/>
                <w:szCs w:val="18"/>
              </w:rPr>
              <w:t>Peak spectral efficiency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A529C97" w14:textId="77777777" w:rsidR="000F77EA" w:rsidRDefault="00000000">
            <w:pPr>
              <w:snapToGrid w:val="0"/>
              <w:rPr>
                <w:rFonts w:eastAsia="宋体"/>
                <w:sz w:val="18"/>
                <w:szCs w:val="18"/>
              </w:rPr>
            </w:pPr>
            <w:r>
              <w:rPr>
                <w:rFonts w:eastAsia="宋体"/>
                <w:sz w:val="18"/>
                <w:szCs w:val="18"/>
              </w:rPr>
              <w:t>DL: 75, UL: 37.5 bit/s/Hz</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E4E377A" w14:textId="77777777" w:rsidR="000F77EA" w:rsidRDefault="00000000">
            <w:pPr>
              <w:snapToGrid w:val="0"/>
              <w:rPr>
                <w:rFonts w:eastAsia="宋体"/>
                <w:sz w:val="18"/>
                <w:szCs w:val="18"/>
              </w:rPr>
            </w:pPr>
            <w:r>
              <w:rPr>
                <w:rFonts w:eastAsia="宋体"/>
                <w:sz w:val="18"/>
                <w:szCs w:val="18"/>
              </w:rPr>
              <w:t>2.5xIMT-2020</w:t>
            </w:r>
          </w:p>
          <w:p w14:paraId="79B32F5D" w14:textId="77777777" w:rsidR="000F77EA" w:rsidRDefault="00000000">
            <w:pPr>
              <w:snapToGrid w:val="0"/>
              <w:rPr>
                <w:rFonts w:eastAsia="宋体"/>
                <w:sz w:val="18"/>
                <w:szCs w:val="18"/>
              </w:rPr>
            </w:pPr>
            <w:r>
              <w:rPr>
                <w:rFonts w:eastAsia="宋体" w:hint="eastAsia"/>
                <w:sz w:val="18"/>
                <w:szCs w:val="18"/>
              </w:rPr>
              <w:t>(NR can already achieve 1.6x with 256 QAM and 8 MIMO layers. 1024 QAM + 16 layers = 4x)</w:t>
            </w:r>
          </w:p>
        </w:tc>
        <w:tc>
          <w:tcPr>
            <w:tcW w:w="953" w:type="pct"/>
            <w:tcBorders>
              <w:top w:val="single" w:sz="6" w:space="0" w:color="auto"/>
              <w:left w:val="nil"/>
              <w:bottom w:val="single" w:sz="6" w:space="0" w:color="auto"/>
              <w:right w:val="single" w:sz="6" w:space="0" w:color="auto"/>
            </w:tcBorders>
            <w:shd w:val="clear" w:color="auto" w:fill="FFFFFF"/>
            <w:vAlign w:val="center"/>
          </w:tcPr>
          <w:p w14:paraId="6A2D0023" w14:textId="77777777" w:rsidR="000F77EA" w:rsidRDefault="00000000">
            <w:pPr>
              <w:snapToGrid w:val="0"/>
              <w:rPr>
                <w:rFonts w:eastAsia="宋体"/>
                <w:sz w:val="18"/>
                <w:szCs w:val="18"/>
              </w:rPr>
            </w:pPr>
            <w:r>
              <w:rPr>
                <w:rFonts w:eastAsia="宋体"/>
                <w:sz w:val="18"/>
                <w:szCs w:val="18"/>
              </w:rPr>
              <w:t>– Downlink peak spectral efficiency is 30 bit/s/Hz.</w:t>
            </w:r>
            <w:r>
              <w:rPr>
                <w:rFonts w:eastAsia="宋体"/>
                <w:sz w:val="18"/>
                <w:szCs w:val="18"/>
              </w:rPr>
              <w:br/>
              <w:t>– Uplink peak spectral efficiency is 15 bit/s/Hz.</w:t>
            </w:r>
          </w:p>
        </w:tc>
        <w:tc>
          <w:tcPr>
            <w:tcW w:w="952" w:type="pct"/>
            <w:tcBorders>
              <w:top w:val="single" w:sz="6" w:space="0" w:color="auto"/>
              <w:left w:val="nil"/>
              <w:bottom w:val="single" w:sz="6" w:space="0" w:color="auto"/>
              <w:right w:val="single" w:sz="6" w:space="0" w:color="auto"/>
            </w:tcBorders>
            <w:shd w:val="clear" w:color="auto" w:fill="FFFFFF"/>
          </w:tcPr>
          <w:p w14:paraId="5B6B3A92" w14:textId="77777777" w:rsidR="000F77EA" w:rsidRDefault="00000000">
            <w:pPr>
              <w:rPr>
                <w:rFonts w:eastAsia="宋体"/>
                <w:sz w:val="18"/>
                <w:szCs w:val="18"/>
              </w:rPr>
            </w:pPr>
            <w:r>
              <w:rPr>
                <w:rFonts w:eastAsia="宋体"/>
                <w:sz w:val="18"/>
                <w:szCs w:val="18"/>
              </w:rPr>
              <w:t>See peak data rate</w:t>
            </w:r>
          </w:p>
          <w:p w14:paraId="3BB2D68B" w14:textId="77777777" w:rsidR="000F77EA" w:rsidRDefault="000F77EA">
            <w:pPr>
              <w:snapToGrid w:val="0"/>
              <w:rPr>
                <w:rFonts w:eastAsia="宋体"/>
                <w:sz w:val="18"/>
                <w:szCs w:val="18"/>
              </w:rPr>
            </w:pPr>
          </w:p>
        </w:tc>
      </w:tr>
      <w:tr w:rsidR="000F77EA" w14:paraId="1F3EFFDF" w14:textId="77777777">
        <w:trPr>
          <w:trHeight w:val="595"/>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08D3E26F" w14:textId="77777777" w:rsidR="000F77EA" w:rsidRDefault="00000000">
            <w:pPr>
              <w:snapToGrid w:val="0"/>
              <w:rPr>
                <w:rFonts w:eastAsia="宋体"/>
                <w:sz w:val="18"/>
                <w:szCs w:val="18"/>
              </w:rPr>
            </w:pPr>
            <w:r>
              <w:rPr>
                <w:rFonts w:eastAsia="宋体"/>
                <w:sz w:val="18"/>
                <w:szCs w:val="18"/>
              </w:rPr>
              <w:t>User experienced data rate</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3A26E27" w14:textId="77777777" w:rsidR="000F77EA" w:rsidRDefault="00000000">
            <w:pPr>
              <w:snapToGrid w:val="0"/>
              <w:rPr>
                <w:rFonts w:eastAsia="宋体"/>
                <w:sz w:val="18"/>
                <w:szCs w:val="18"/>
              </w:rPr>
            </w:pPr>
            <w:r>
              <w:rPr>
                <w:rFonts w:eastAsia="宋体"/>
                <w:sz w:val="18"/>
                <w:szCs w:val="18"/>
              </w:rPr>
              <w:t>DL: 500, UL: 250 Mbit/s.</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9689FFD" w14:textId="77777777" w:rsidR="000F77EA" w:rsidRDefault="00000000">
            <w:pPr>
              <w:snapToGrid w:val="0"/>
              <w:rPr>
                <w:rFonts w:eastAsia="宋体"/>
                <w:sz w:val="18"/>
                <w:szCs w:val="18"/>
              </w:rPr>
            </w:pPr>
            <w:r>
              <w:rPr>
                <w:rFonts w:eastAsia="宋体"/>
                <w:sz w:val="18"/>
                <w:szCs w:val="18"/>
              </w:rPr>
              <w:t>5x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4DCE943C" w14:textId="77777777" w:rsidR="000F77EA" w:rsidRDefault="00000000">
            <w:pPr>
              <w:snapToGrid w:val="0"/>
              <w:rPr>
                <w:rFonts w:eastAsia="宋体"/>
                <w:sz w:val="18"/>
                <w:szCs w:val="18"/>
              </w:rPr>
            </w:pPr>
            <w:r>
              <w:rPr>
                <w:rFonts w:eastAsia="宋体"/>
                <w:sz w:val="18"/>
                <w:szCs w:val="18"/>
              </w:rPr>
              <w:t>– Downlink user experienced data rate is 100 Mbit/s.</w:t>
            </w:r>
            <w:r>
              <w:rPr>
                <w:rFonts w:eastAsia="宋体"/>
                <w:sz w:val="18"/>
                <w:szCs w:val="18"/>
              </w:rPr>
              <w:br/>
              <w:t>– Uplink user experienced data rate is 50 Mbit/s.</w:t>
            </w:r>
          </w:p>
        </w:tc>
        <w:tc>
          <w:tcPr>
            <w:tcW w:w="952" w:type="pct"/>
            <w:tcBorders>
              <w:top w:val="single" w:sz="6" w:space="0" w:color="auto"/>
              <w:left w:val="nil"/>
              <w:bottom w:val="single" w:sz="6" w:space="0" w:color="auto"/>
              <w:right w:val="single" w:sz="6" w:space="0" w:color="auto"/>
            </w:tcBorders>
            <w:shd w:val="clear" w:color="auto" w:fill="FFFFFF"/>
          </w:tcPr>
          <w:p w14:paraId="0919AE26" w14:textId="77777777" w:rsidR="000F77EA" w:rsidRDefault="00000000">
            <w:pPr>
              <w:snapToGrid w:val="0"/>
              <w:rPr>
                <w:rFonts w:eastAsia="宋体"/>
                <w:sz w:val="18"/>
                <w:szCs w:val="18"/>
              </w:rPr>
            </w:pPr>
            <w:r>
              <w:rPr>
                <w:rFonts w:eastAsia="宋体"/>
                <w:sz w:val="18"/>
                <w:szCs w:val="18"/>
              </w:rPr>
              <w:t>8K AR video with compression rate of 25/50 times: DL 960/480 MBps (indoor factory) (11.7, TR 22.870)</w:t>
            </w:r>
          </w:p>
          <w:p w14:paraId="393A8DF2" w14:textId="77777777" w:rsidR="000F77EA" w:rsidRDefault="00000000">
            <w:pPr>
              <w:snapToGrid w:val="0"/>
              <w:rPr>
                <w:rFonts w:eastAsia="宋体"/>
                <w:sz w:val="18"/>
                <w:szCs w:val="18"/>
              </w:rPr>
            </w:pPr>
            <w:r>
              <w:rPr>
                <w:rFonts w:eastAsia="宋体"/>
                <w:sz w:val="18"/>
                <w:szCs w:val="18"/>
              </w:rPr>
              <w:t xml:space="preserve">Immersive gaming: DL 640 Mbps (in a smaller </w:t>
            </w:r>
            <w:r>
              <w:rPr>
                <w:rFonts w:eastAsia="宋体"/>
                <w:sz w:val="18"/>
                <w:szCs w:val="18"/>
              </w:rPr>
              <w:lastRenderedPageBreak/>
              <w:t>area) (9.1.6, TR 22.870)</w:t>
            </w:r>
          </w:p>
          <w:p w14:paraId="166441DA" w14:textId="77777777" w:rsidR="000F77EA" w:rsidRDefault="00000000">
            <w:pPr>
              <w:snapToGrid w:val="0"/>
              <w:rPr>
                <w:rFonts w:eastAsia="宋体"/>
                <w:sz w:val="18"/>
                <w:szCs w:val="18"/>
              </w:rPr>
            </w:pPr>
            <w:r>
              <w:rPr>
                <w:rFonts w:eastAsia="宋体"/>
                <w:sz w:val="18"/>
                <w:szCs w:val="18"/>
              </w:rPr>
              <w:t>Synergized gaming enhancement (multi-media via collaboration among UE-network-cloud), UL 100-400 Mbps (9.2.6, 22.870)</w:t>
            </w:r>
          </w:p>
        </w:tc>
      </w:tr>
      <w:tr w:rsidR="000F77EA" w14:paraId="225B64B2" w14:textId="77777777">
        <w:trPr>
          <w:trHeight w:val="893"/>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4EEABFEA" w14:textId="77777777" w:rsidR="000F77EA" w:rsidRDefault="00000000">
            <w:pPr>
              <w:snapToGrid w:val="0"/>
              <w:rPr>
                <w:rFonts w:eastAsia="宋体"/>
                <w:sz w:val="18"/>
                <w:szCs w:val="18"/>
              </w:rPr>
            </w:pPr>
            <w:r>
              <w:rPr>
                <w:rFonts w:eastAsia="宋体"/>
                <w:sz w:val="18"/>
                <w:szCs w:val="18"/>
              </w:rPr>
              <w:lastRenderedPageBreak/>
              <w:t>5th percentile user spectral efficiency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1ED14CCD" w14:textId="77777777" w:rsidR="000F77EA" w:rsidRDefault="00000000">
            <w:pPr>
              <w:snapToGrid w:val="0"/>
              <w:rPr>
                <w:rFonts w:eastAsia="宋体"/>
                <w:sz w:val="18"/>
                <w:szCs w:val="18"/>
              </w:rPr>
            </w:pPr>
            <w:r>
              <w:rPr>
                <w:rFonts w:eastAsia="宋体"/>
                <w:sz w:val="18"/>
                <w:szCs w:val="18"/>
              </w:rPr>
              <w:t>Indoor Hotspot 0.75(DL), 0.63 (UL)</w:t>
            </w:r>
            <w:r>
              <w:rPr>
                <w:rFonts w:eastAsia="宋体"/>
                <w:sz w:val="18"/>
                <w:szCs w:val="18"/>
              </w:rPr>
              <w:br/>
              <w:t>Dense Urban 0.563(DL), 0.45(UL)</w:t>
            </w:r>
            <w:r>
              <w:rPr>
                <w:rFonts w:eastAsia="宋体"/>
                <w:sz w:val="18"/>
                <w:szCs w:val="18"/>
              </w:rPr>
              <w:br/>
              <w:t>Rural 0.36(DL), 0.135(UL) bit/s/Hz</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E7C1150" w14:textId="77777777" w:rsidR="000F77EA" w:rsidRDefault="00000000">
            <w:pPr>
              <w:snapToGrid w:val="0"/>
              <w:rPr>
                <w:rFonts w:eastAsia="宋体"/>
                <w:sz w:val="18"/>
                <w:szCs w:val="18"/>
              </w:rPr>
            </w:pPr>
            <w:r>
              <w:rPr>
                <w:rFonts w:eastAsia="宋体"/>
                <w:sz w:val="18"/>
                <w:szCs w:val="18"/>
              </w:rPr>
              <w:t>2.5~3x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58B116C8" w14:textId="77777777" w:rsidR="000F77EA" w:rsidRDefault="00000000">
            <w:pPr>
              <w:snapToGrid w:val="0"/>
              <w:rPr>
                <w:rFonts w:eastAsia="宋体"/>
                <w:sz w:val="18"/>
                <w:szCs w:val="18"/>
              </w:rPr>
            </w:pPr>
            <w:r>
              <w:rPr>
                <w:rFonts w:eastAsia="宋体"/>
                <w:sz w:val="18"/>
                <w:szCs w:val="18"/>
              </w:rPr>
              <w:t>(bit/s/Hz)</w:t>
            </w:r>
            <w:r>
              <w:rPr>
                <w:rFonts w:eastAsia="宋体"/>
                <w:sz w:val="18"/>
                <w:szCs w:val="18"/>
              </w:rPr>
              <w:br/>
              <w:t>Indoor Hotspot – eMBB 0.3(DL) 0.21(UL)</w:t>
            </w:r>
            <w:r>
              <w:rPr>
                <w:rFonts w:eastAsia="宋体"/>
                <w:sz w:val="18"/>
                <w:szCs w:val="18"/>
              </w:rPr>
              <w:br/>
              <w:t>Dense Urban – eMBB (NOTE 1) 0.225 0.15</w:t>
            </w:r>
            <w:r>
              <w:rPr>
                <w:rFonts w:eastAsia="宋体"/>
                <w:sz w:val="18"/>
                <w:szCs w:val="18"/>
              </w:rPr>
              <w:br/>
              <w:t>Rural – eMBB 0.12 0.045</w:t>
            </w:r>
          </w:p>
        </w:tc>
        <w:tc>
          <w:tcPr>
            <w:tcW w:w="952" w:type="pct"/>
            <w:tcBorders>
              <w:top w:val="single" w:sz="6" w:space="0" w:color="auto"/>
              <w:left w:val="nil"/>
              <w:bottom w:val="single" w:sz="6" w:space="0" w:color="auto"/>
              <w:right w:val="single" w:sz="6" w:space="0" w:color="auto"/>
            </w:tcBorders>
            <w:shd w:val="clear" w:color="auto" w:fill="FFFFFF"/>
          </w:tcPr>
          <w:p w14:paraId="1CC3E601" w14:textId="77777777" w:rsidR="000F77EA" w:rsidRDefault="00000000">
            <w:pPr>
              <w:snapToGrid w:val="0"/>
              <w:rPr>
                <w:rFonts w:eastAsia="宋体"/>
                <w:sz w:val="18"/>
                <w:szCs w:val="18"/>
              </w:rPr>
            </w:pPr>
            <w:r>
              <w:rPr>
                <w:rFonts w:eastAsia="宋体"/>
                <w:sz w:val="18"/>
                <w:szCs w:val="18"/>
              </w:rPr>
              <w:t>See user experienced data rate</w:t>
            </w:r>
          </w:p>
        </w:tc>
      </w:tr>
      <w:tr w:rsidR="000F77EA" w14:paraId="606A55C1" w14:textId="77777777">
        <w:trPr>
          <w:trHeight w:val="893"/>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2732BA36" w14:textId="77777777" w:rsidR="000F77EA" w:rsidRDefault="00000000">
            <w:pPr>
              <w:snapToGrid w:val="0"/>
              <w:rPr>
                <w:rFonts w:eastAsia="宋体"/>
                <w:sz w:val="18"/>
                <w:szCs w:val="18"/>
              </w:rPr>
            </w:pPr>
            <w:r>
              <w:rPr>
                <w:rFonts w:eastAsia="宋体"/>
                <w:sz w:val="18"/>
                <w:szCs w:val="18"/>
              </w:rPr>
              <w:t>Average spectral efficiency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601E7046" w14:textId="77777777" w:rsidR="000F77EA" w:rsidRDefault="00000000">
            <w:pPr>
              <w:snapToGrid w:val="0"/>
              <w:rPr>
                <w:rFonts w:eastAsia="宋体"/>
                <w:sz w:val="18"/>
                <w:szCs w:val="18"/>
              </w:rPr>
            </w:pPr>
            <w:r>
              <w:rPr>
                <w:rFonts w:eastAsia="宋体"/>
                <w:sz w:val="18"/>
                <w:szCs w:val="18"/>
              </w:rPr>
              <w:t>Indoor Hotspot 22.5(DL)  16.875(UL)</w:t>
            </w:r>
            <w:r>
              <w:rPr>
                <w:rFonts w:eastAsia="宋体"/>
                <w:sz w:val="18"/>
                <w:szCs w:val="18"/>
              </w:rPr>
              <w:br/>
              <w:t>Dense Urban 19.5(DL)  13.5(UL)</w:t>
            </w:r>
            <w:r>
              <w:rPr>
                <w:rFonts w:eastAsia="宋体"/>
                <w:sz w:val="18"/>
                <w:szCs w:val="18"/>
              </w:rPr>
              <w:br/>
              <w:t>Rural 8.25(DL)  4(UL) bit/s/Hz/TRxP</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AC61249" w14:textId="77777777" w:rsidR="000F77EA" w:rsidRDefault="00000000">
            <w:pPr>
              <w:snapToGrid w:val="0"/>
              <w:rPr>
                <w:rFonts w:eastAsia="宋体"/>
                <w:sz w:val="18"/>
                <w:szCs w:val="18"/>
              </w:rPr>
            </w:pPr>
            <w:r>
              <w:rPr>
                <w:rFonts w:eastAsia="宋体"/>
                <w:sz w:val="18"/>
                <w:szCs w:val="18"/>
              </w:rPr>
              <w:t>2.5xIMT-2020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6BB840BA" w14:textId="77777777" w:rsidR="000F77EA" w:rsidRDefault="00000000">
            <w:pPr>
              <w:snapToGrid w:val="0"/>
              <w:rPr>
                <w:rFonts w:eastAsia="宋体"/>
                <w:sz w:val="18"/>
                <w:szCs w:val="18"/>
              </w:rPr>
            </w:pPr>
            <w:r>
              <w:rPr>
                <w:rFonts w:eastAsia="宋体"/>
                <w:sz w:val="18"/>
                <w:szCs w:val="18"/>
              </w:rPr>
              <w:t>(bit/s/Hz/TRxP)</w:t>
            </w:r>
            <w:r>
              <w:rPr>
                <w:rFonts w:eastAsia="宋体"/>
                <w:sz w:val="18"/>
                <w:szCs w:val="18"/>
              </w:rPr>
              <w:br/>
              <w:t>Indoor Hotspot – eMBB 9 (DL) 6.75(UL)</w:t>
            </w:r>
            <w:r>
              <w:rPr>
                <w:rFonts w:eastAsia="宋体"/>
                <w:sz w:val="18"/>
                <w:szCs w:val="18"/>
              </w:rPr>
              <w:br/>
              <w:t>Dense Urban – eMBB (Note 1) 7.8 5.4</w:t>
            </w:r>
            <w:r>
              <w:rPr>
                <w:rFonts w:eastAsia="宋体"/>
                <w:sz w:val="18"/>
                <w:szCs w:val="18"/>
              </w:rPr>
              <w:br/>
              <w:t>Rural – eMBB 3.3 1.6</w:t>
            </w:r>
          </w:p>
        </w:tc>
        <w:tc>
          <w:tcPr>
            <w:tcW w:w="952" w:type="pct"/>
            <w:tcBorders>
              <w:top w:val="single" w:sz="6" w:space="0" w:color="auto"/>
              <w:left w:val="nil"/>
              <w:bottom w:val="single" w:sz="6" w:space="0" w:color="auto"/>
              <w:right w:val="single" w:sz="6" w:space="0" w:color="auto"/>
            </w:tcBorders>
            <w:shd w:val="clear" w:color="auto" w:fill="FFFFFF"/>
          </w:tcPr>
          <w:p w14:paraId="169800FB" w14:textId="77777777" w:rsidR="000F77EA" w:rsidRDefault="00000000">
            <w:pPr>
              <w:snapToGrid w:val="0"/>
              <w:rPr>
                <w:rFonts w:eastAsia="宋体"/>
                <w:sz w:val="18"/>
                <w:szCs w:val="18"/>
              </w:rPr>
            </w:pPr>
            <w:r>
              <w:rPr>
                <w:rFonts w:eastAsia="宋体"/>
                <w:sz w:val="18"/>
                <w:szCs w:val="18"/>
              </w:rPr>
              <w:t>See area traffic capacity</w:t>
            </w:r>
          </w:p>
        </w:tc>
      </w:tr>
      <w:tr w:rsidR="000F77EA" w14:paraId="3D0E4341" w14:textId="77777777">
        <w:trPr>
          <w:trHeight w:val="446"/>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6A68AC45" w14:textId="77777777" w:rsidR="000F77EA" w:rsidRDefault="00000000">
            <w:pPr>
              <w:snapToGrid w:val="0"/>
              <w:rPr>
                <w:rFonts w:eastAsia="宋体"/>
                <w:sz w:val="18"/>
                <w:szCs w:val="18"/>
              </w:rPr>
            </w:pPr>
            <w:r>
              <w:rPr>
                <w:rFonts w:eastAsia="宋体"/>
                <w:sz w:val="18"/>
                <w:szCs w:val="18"/>
              </w:rPr>
              <w:t>Area traffic capacity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CA5C721" w14:textId="77777777" w:rsidR="000F77EA" w:rsidRDefault="00000000">
            <w:pPr>
              <w:snapToGrid w:val="0"/>
              <w:rPr>
                <w:rFonts w:eastAsia="宋体"/>
                <w:sz w:val="18"/>
                <w:szCs w:val="18"/>
              </w:rPr>
            </w:pPr>
            <w:r>
              <w:rPr>
                <w:rFonts w:eastAsia="宋体"/>
                <w:sz w:val="18"/>
                <w:szCs w:val="18"/>
              </w:rPr>
              <w:t>Downlink 50 Mbit/s/m2 in the Indoor Hotspot-IC</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ED524B1" w14:textId="77777777" w:rsidR="000F77EA" w:rsidRDefault="00000000">
            <w:pPr>
              <w:snapToGrid w:val="0"/>
              <w:rPr>
                <w:rFonts w:eastAsia="宋体"/>
                <w:sz w:val="18"/>
                <w:szCs w:val="18"/>
              </w:rPr>
            </w:pPr>
            <w:r>
              <w:rPr>
                <w:rFonts w:eastAsia="宋体"/>
                <w:sz w:val="18"/>
                <w:szCs w:val="18"/>
              </w:rPr>
              <w:t>5x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21ED5CC4" w14:textId="77777777" w:rsidR="000F77EA" w:rsidRDefault="00000000">
            <w:pPr>
              <w:snapToGrid w:val="0"/>
              <w:rPr>
                <w:rFonts w:eastAsia="宋体"/>
                <w:sz w:val="18"/>
                <w:szCs w:val="18"/>
              </w:rPr>
            </w:pPr>
            <w:r>
              <w:rPr>
                <w:rFonts w:eastAsia="宋体"/>
                <w:sz w:val="18"/>
                <w:szCs w:val="18"/>
              </w:rPr>
              <w:t>Downlink 10 Mbit/s/m2</w:t>
            </w:r>
            <w:r>
              <w:rPr>
                <w:rFonts w:eastAsia="宋体"/>
                <w:sz w:val="18"/>
                <w:szCs w:val="18"/>
              </w:rPr>
              <w:br/>
              <w:t>in the Indoor Hotspot – eMBB</w:t>
            </w:r>
          </w:p>
        </w:tc>
        <w:tc>
          <w:tcPr>
            <w:tcW w:w="952" w:type="pct"/>
            <w:tcBorders>
              <w:top w:val="single" w:sz="6" w:space="0" w:color="auto"/>
              <w:left w:val="nil"/>
              <w:bottom w:val="single" w:sz="6" w:space="0" w:color="auto"/>
              <w:right w:val="single" w:sz="6" w:space="0" w:color="auto"/>
            </w:tcBorders>
            <w:shd w:val="clear" w:color="auto" w:fill="FFFFFF"/>
          </w:tcPr>
          <w:p w14:paraId="2A0C831A" w14:textId="77777777" w:rsidR="000F77EA" w:rsidRDefault="00000000">
            <w:pPr>
              <w:snapToGrid w:val="0"/>
              <w:rPr>
                <w:rFonts w:eastAsia="宋体"/>
                <w:sz w:val="18"/>
                <w:szCs w:val="18"/>
              </w:rPr>
            </w:pPr>
            <w:r>
              <w:rPr>
                <w:rFonts w:eastAsia="宋体"/>
                <w:sz w:val="18"/>
                <w:szCs w:val="18"/>
              </w:rPr>
              <w:t>Seamless Immersive Reality in Education: X &lt; 250 Mbit/s/m2 (9.4.6, 22.870)</w:t>
            </w:r>
          </w:p>
        </w:tc>
      </w:tr>
      <w:tr w:rsidR="000F77EA" w14:paraId="12F97FB1" w14:textId="77777777">
        <w:trPr>
          <w:trHeight w:val="446"/>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6736E10A" w14:textId="77777777" w:rsidR="000F77EA" w:rsidRDefault="00000000">
            <w:pPr>
              <w:snapToGrid w:val="0"/>
              <w:rPr>
                <w:rFonts w:eastAsia="宋体"/>
                <w:sz w:val="18"/>
                <w:szCs w:val="18"/>
              </w:rPr>
            </w:pPr>
            <w:r>
              <w:rPr>
                <w:rFonts w:eastAsia="宋体"/>
                <w:sz w:val="18"/>
                <w:szCs w:val="18"/>
              </w:rPr>
              <w:t>User plane latency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F6420F6" w14:textId="77777777" w:rsidR="000F77EA" w:rsidRDefault="00000000">
            <w:pPr>
              <w:snapToGrid w:val="0"/>
              <w:rPr>
                <w:rFonts w:eastAsia="宋体"/>
                <w:sz w:val="18"/>
                <w:szCs w:val="18"/>
              </w:rPr>
            </w:pPr>
            <w:r>
              <w:rPr>
                <w:rFonts w:eastAsia="宋体"/>
                <w:sz w:val="18"/>
                <w:szCs w:val="18"/>
              </w:rPr>
              <w:t>1ms for IC</w:t>
            </w:r>
            <w:r>
              <w:rPr>
                <w:rFonts w:eastAsia="宋体"/>
                <w:sz w:val="18"/>
                <w:szCs w:val="18"/>
              </w:rPr>
              <w:br/>
              <w:t>0.5ms HRLLC</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7F515F85" w14:textId="77777777" w:rsidR="000F77EA" w:rsidRDefault="00000000">
            <w:pPr>
              <w:snapToGrid w:val="0"/>
              <w:rPr>
                <w:rFonts w:eastAsia="宋体"/>
                <w:sz w:val="18"/>
                <w:szCs w:val="18"/>
              </w:rPr>
            </w:pPr>
            <w:r>
              <w:rPr>
                <w:rFonts w:eastAsia="宋体" w:hint="eastAsia"/>
                <w:sz w:val="18"/>
                <w:szCs w:val="18"/>
              </w:rPr>
              <w:t xml:space="preserve">At least </w:t>
            </w:r>
            <w:r>
              <w:rPr>
                <w:rFonts w:eastAsia="宋体"/>
                <w:sz w:val="18"/>
                <w:szCs w:val="18"/>
              </w:rPr>
              <w:t>1/2</w:t>
            </w:r>
            <w:r>
              <w:rPr>
                <w:rFonts w:eastAsia="宋体" w:hint="eastAsia"/>
                <w:sz w:val="18"/>
                <w:szCs w:val="18"/>
              </w:rPr>
              <w:t xml:space="preserve"> </w:t>
            </w:r>
            <w:r>
              <w:rPr>
                <w:rFonts w:eastAsia="宋体"/>
                <w:sz w:val="18"/>
                <w:szCs w:val="18"/>
              </w:rPr>
              <w:t>x IMT-2020</w:t>
            </w:r>
          </w:p>
          <w:p w14:paraId="6FCA6F91" w14:textId="77777777" w:rsidR="000F77EA" w:rsidRDefault="000F77EA">
            <w:pPr>
              <w:snapToGrid w:val="0"/>
              <w:rPr>
                <w:rFonts w:eastAsia="宋体"/>
                <w:sz w:val="18"/>
                <w:szCs w:val="18"/>
              </w:rPr>
            </w:pPr>
          </w:p>
        </w:tc>
        <w:tc>
          <w:tcPr>
            <w:tcW w:w="953" w:type="pct"/>
            <w:tcBorders>
              <w:top w:val="single" w:sz="6" w:space="0" w:color="auto"/>
              <w:left w:val="nil"/>
              <w:bottom w:val="single" w:sz="6" w:space="0" w:color="auto"/>
              <w:right w:val="single" w:sz="6" w:space="0" w:color="auto"/>
            </w:tcBorders>
            <w:shd w:val="clear" w:color="auto" w:fill="FFFFFF"/>
            <w:vAlign w:val="center"/>
          </w:tcPr>
          <w:p w14:paraId="4427106D" w14:textId="77777777" w:rsidR="000F77EA" w:rsidRDefault="00000000">
            <w:pPr>
              <w:snapToGrid w:val="0"/>
              <w:rPr>
                <w:rFonts w:eastAsia="宋体"/>
                <w:sz w:val="18"/>
                <w:szCs w:val="18"/>
              </w:rPr>
            </w:pPr>
            <w:r>
              <w:rPr>
                <w:rFonts w:eastAsia="宋体"/>
                <w:sz w:val="18"/>
                <w:szCs w:val="18"/>
              </w:rPr>
              <w:t>4 ms for eMBB</w:t>
            </w:r>
            <w:r>
              <w:rPr>
                <w:rFonts w:eastAsia="宋体"/>
                <w:sz w:val="18"/>
                <w:szCs w:val="18"/>
              </w:rPr>
              <w:br/>
              <w:t>1 ms for URLLC</w:t>
            </w:r>
          </w:p>
        </w:tc>
        <w:tc>
          <w:tcPr>
            <w:tcW w:w="952" w:type="pct"/>
            <w:tcBorders>
              <w:top w:val="single" w:sz="6" w:space="0" w:color="auto"/>
              <w:left w:val="nil"/>
              <w:bottom w:val="single" w:sz="6" w:space="0" w:color="auto"/>
              <w:right w:val="single" w:sz="6" w:space="0" w:color="auto"/>
            </w:tcBorders>
            <w:shd w:val="clear" w:color="auto" w:fill="FFFFFF"/>
          </w:tcPr>
          <w:p w14:paraId="29ADFE17" w14:textId="77777777" w:rsidR="000F77EA" w:rsidRDefault="00000000">
            <w:pPr>
              <w:snapToGrid w:val="0"/>
              <w:rPr>
                <w:rFonts w:eastAsia="宋体"/>
                <w:sz w:val="18"/>
                <w:szCs w:val="18"/>
              </w:rPr>
            </w:pPr>
            <w:r>
              <w:rPr>
                <w:rFonts w:eastAsia="宋体"/>
                <w:sz w:val="18"/>
                <w:szCs w:val="18"/>
              </w:rPr>
              <w:t>0.1-1ms (ITU-R M.2160)</w:t>
            </w:r>
          </w:p>
        </w:tc>
      </w:tr>
      <w:tr w:rsidR="000F77EA" w14:paraId="57EF88FA" w14:textId="77777777">
        <w:trPr>
          <w:trHeight w:val="744"/>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08A459C8" w14:textId="77777777" w:rsidR="000F77EA" w:rsidRDefault="00000000">
            <w:pPr>
              <w:snapToGrid w:val="0"/>
              <w:rPr>
                <w:rFonts w:eastAsia="宋体"/>
                <w:sz w:val="18"/>
                <w:szCs w:val="18"/>
              </w:rPr>
            </w:pPr>
            <w:r>
              <w:rPr>
                <w:rFonts w:eastAsia="宋体"/>
                <w:sz w:val="18"/>
                <w:szCs w:val="18"/>
              </w:rPr>
              <w:t>Control plane latency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24151524" w14:textId="77777777" w:rsidR="000F77EA" w:rsidRDefault="00000000">
            <w:pPr>
              <w:snapToGrid w:val="0"/>
              <w:rPr>
                <w:rFonts w:eastAsia="宋体"/>
                <w:sz w:val="18"/>
                <w:szCs w:val="18"/>
              </w:rPr>
            </w:pPr>
            <w:r>
              <w:rPr>
                <w:rFonts w:eastAsia="宋体"/>
                <w:sz w:val="18"/>
                <w:szCs w:val="18"/>
              </w:rPr>
              <w:t xml:space="preserve">10ms </w:t>
            </w:r>
            <w:r>
              <w:rPr>
                <w:rFonts w:eastAsia="宋体"/>
                <w:sz w:val="18"/>
                <w:szCs w:val="18"/>
              </w:rPr>
              <w:br/>
            </w:r>
            <w:r>
              <w:rPr>
                <w:rFonts w:eastAsia="宋体" w:hint="eastAsia"/>
                <w:sz w:val="18"/>
                <w:szCs w:val="18"/>
              </w:rPr>
              <w:t xml:space="preserve">consider </w:t>
            </w:r>
            <w:r>
              <w:rPr>
                <w:rFonts w:eastAsia="宋体"/>
                <w:sz w:val="18"/>
                <w:szCs w:val="18"/>
              </w:rPr>
              <w:t>5ms</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7D8C47E" w14:textId="77777777" w:rsidR="000F77EA" w:rsidRDefault="00000000">
            <w:pPr>
              <w:snapToGrid w:val="0"/>
              <w:rPr>
                <w:rFonts w:eastAsia="宋体"/>
                <w:sz w:val="18"/>
                <w:szCs w:val="18"/>
              </w:rPr>
            </w:pPr>
            <w:r>
              <w:rPr>
                <w:rFonts w:eastAsia="宋体"/>
                <w:sz w:val="18"/>
                <w:szCs w:val="18"/>
              </w:rPr>
              <w:t>1/2 or 1/4 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31F6FB61" w14:textId="77777777" w:rsidR="000F77EA" w:rsidRDefault="00000000">
            <w:pPr>
              <w:snapToGrid w:val="0"/>
              <w:rPr>
                <w:rFonts w:eastAsia="宋体"/>
                <w:sz w:val="18"/>
                <w:szCs w:val="18"/>
              </w:rPr>
            </w:pPr>
            <w:r>
              <w:rPr>
                <w:rFonts w:eastAsia="宋体"/>
                <w:sz w:val="18"/>
                <w:szCs w:val="18"/>
              </w:rPr>
              <w:t>20 ms</w:t>
            </w:r>
            <w:r>
              <w:rPr>
                <w:rFonts w:eastAsia="宋体"/>
                <w:sz w:val="18"/>
                <w:szCs w:val="18"/>
              </w:rPr>
              <w:br/>
              <w:t>consider 10ms</w:t>
            </w:r>
          </w:p>
        </w:tc>
        <w:tc>
          <w:tcPr>
            <w:tcW w:w="952" w:type="pct"/>
            <w:tcBorders>
              <w:top w:val="single" w:sz="6" w:space="0" w:color="auto"/>
              <w:left w:val="nil"/>
              <w:bottom w:val="single" w:sz="6" w:space="0" w:color="auto"/>
              <w:right w:val="single" w:sz="6" w:space="0" w:color="auto"/>
            </w:tcBorders>
            <w:shd w:val="clear" w:color="auto" w:fill="FFFFFF"/>
          </w:tcPr>
          <w:p w14:paraId="6B167767" w14:textId="77777777" w:rsidR="000F77EA" w:rsidRDefault="000F77EA">
            <w:pPr>
              <w:snapToGrid w:val="0"/>
              <w:rPr>
                <w:rFonts w:eastAsia="宋体"/>
                <w:sz w:val="18"/>
                <w:szCs w:val="18"/>
              </w:rPr>
            </w:pPr>
          </w:p>
        </w:tc>
      </w:tr>
      <w:tr w:rsidR="000F77EA" w14:paraId="1C6B7349" w14:textId="77777777">
        <w:trPr>
          <w:trHeight w:val="744"/>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1B66C1A7" w14:textId="77777777" w:rsidR="000F77EA" w:rsidRDefault="00000000">
            <w:pPr>
              <w:snapToGrid w:val="0"/>
              <w:rPr>
                <w:rFonts w:eastAsia="宋体"/>
                <w:sz w:val="18"/>
                <w:szCs w:val="18"/>
              </w:rPr>
            </w:pPr>
            <w:r>
              <w:rPr>
                <w:rFonts w:eastAsia="宋体" w:hint="eastAsia"/>
                <w:sz w:val="18"/>
                <w:szCs w:val="18"/>
              </w:rPr>
              <w:t>Reliability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01FED8C" w14:textId="77777777" w:rsidR="000F77EA" w:rsidRDefault="00000000">
            <w:r>
              <w:rPr>
                <w:rFonts w:eastAsia="宋体"/>
                <w:sz w:val="16"/>
                <w:szCs w:val="16"/>
              </w:rPr>
              <w:t>1-10</w:t>
            </w:r>
            <w:r>
              <w:rPr>
                <w:rFonts w:eastAsia="宋体"/>
                <w:sz w:val="16"/>
                <w:szCs w:val="16"/>
                <w:vertAlign w:val="superscript"/>
              </w:rPr>
              <w:t>-7</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73E8F171" w14:textId="77777777" w:rsidR="000F77EA" w:rsidRDefault="00000000">
            <w:pPr>
              <w:snapToGrid w:val="0"/>
              <w:rPr>
                <w:rFonts w:eastAsia="宋体"/>
                <w:sz w:val="18"/>
                <w:szCs w:val="18"/>
              </w:rPr>
            </w:pPr>
            <w:r>
              <w:rPr>
                <w:rFonts w:eastAsia="宋体" w:hint="eastAsia"/>
                <w:sz w:val="18"/>
                <w:szCs w:val="18"/>
              </w:rPr>
              <w:t>1/1</w:t>
            </w:r>
            <w:r>
              <w:rPr>
                <w:rFonts w:eastAsia="宋体"/>
                <w:sz w:val="18"/>
                <w:szCs w:val="18"/>
              </w:rPr>
              <w:t>00 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4A83773C" w14:textId="77777777" w:rsidR="000F77EA" w:rsidRDefault="00000000">
            <w:r>
              <w:rPr>
                <w:rFonts w:eastAsia="宋体"/>
                <w:sz w:val="16"/>
                <w:szCs w:val="16"/>
              </w:rPr>
              <w:t>1-10</w:t>
            </w:r>
            <w:r>
              <w:rPr>
                <w:rFonts w:eastAsia="宋体"/>
                <w:sz w:val="16"/>
                <w:szCs w:val="16"/>
                <w:vertAlign w:val="superscript"/>
              </w:rPr>
              <w:t>-5</w:t>
            </w:r>
          </w:p>
        </w:tc>
        <w:tc>
          <w:tcPr>
            <w:tcW w:w="952" w:type="pct"/>
            <w:tcBorders>
              <w:top w:val="single" w:sz="6" w:space="0" w:color="auto"/>
              <w:left w:val="nil"/>
              <w:bottom w:val="single" w:sz="6" w:space="0" w:color="auto"/>
              <w:right w:val="single" w:sz="6" w:space="0" w:color="auto"/>
            </w:tcBorders>
            <w:shd w:val="clear" w:color="auto" w:fill="FFFFFF"/>
          </w:tcPr>
          <w:p w14:paraId="308203F4" w14:textId="77777777" w:rsidR="000F77EA" w:rsidRDefault="00000000">
            <w:pPr>
              <w:rPr>
                <w:rFonts w:eastAsia="宋体"/>
                <w:sz w:val="16"/>
                <w:szCs w:val="16"/>
              </w:rPr>
            </w:pPr>
            <w:r>
              <w:rPr>
                <w:rFonts w:eastAsia="宋体"/>
                <w:sz w:val="16"/>
                <w:szCs w:val="16"/>
              </w:rPr>
              <w:t>Real time digital twins: 1 - 10^(-7) (11.3.6, 22.870)</w:t>
            </w:r>
          </w:p>
          <w:p w14:paraId="06DE623D" w14:textId="77777777" w:rsidR="000F77EA" w:rsidRDefault="00000000">
            <w:pPr>
              <w:rPr>
                <w:rFonts w:eastAsia="宋体"/>
                <w:sz w:val="16"/>
                <w:szCs w:val="16"/>
              </w:rPr>
            </w:pPr>
            <w:r>
              <w:rPr>
                <w:rFonts w:eastAsia="宋体"/>
                <w:sz w:val="16"/>
                <w:szCs w:val="16"/>
              </w:rPr>
              <w:t>Cooperating Mobile Robots: 1 - 10^(-7) (11.2.6, 22.870)</w:t>
            </w:r>
          </w:p>
        </w:tc>
      </w:tr>
      <w:tr w:rsidR="000F77EA" w14:paraId="401FF482" w14:textId="77777777">
        <w:trPr>
          <w:trHeight w:val="223"/>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6132890A" w14:textId="77777777" w:rsidR="000F77EA" w:rsidRDefault="00000000">
            <w:pPr>
              <w:snapToGrid w:val="0"/>
              <w:rPr>
                <w:rFonts w:eastAsia="宋体"/>
                <w:sz w:val="18"/>
                <w:szCs w:val="18"/>
              </w:rPr>
            </w:pPr>
            <w:r>
              <w:rPr>
                <w:rFonts w:eastAsia="宋体"/>
                <w:sz w:val="18"/>
                <w:szCs w:val="18"/>
              </w:rPr>
              <w:t>Connection density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6AC03672" w14:textId="77777777" w:rsidR="000F77EA" w:rsidRDefault="00000000">
            <w:pPr>
              <w:snapToGrid w:val="0"/>
              <w:rPr>
                <w:rFonts w:eastAsia="宋体"/>
                <w:sz w:val="18"/>
                <w:szCs w:val="18"/>
              </w:rPr>
            </w:pPr>
            <w:r>
              <w:rPr>
                <w:rFonts w:eastAsia="宋体"/>
                <w:sz w:val="18"/>
                <w:szCs w:val="18"/>
              </w:rPr>
              <w:t>10^8 devices per km2 for Massive</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6AF5B03E" w14:textId="77777777" w:rsidR="000F77EA" w:rsidRDefault="00000000">
            <w:pPr>
              <w:snapToGrid w:val="0"/>
              <w:rPr>
                <w:rFonts w:eastAsia="宋体"/>
                <w:sz w:val="18"/>
                <w:szCs w:val="18"/>
              </w:rPr>
            </w:pPr>
            <w:r>
              <w:rPr>
                <w:rFonts w:eastAsia="宋体"/>
                <w:sz w:val="18"/>
                <w:szCs w:val="18"/>
              </w:rPr>
              <w:t>100x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6E772BE3" w14:textId="77777777" w:rsidR="000F77EA" w:rsidRDefault="00000000">
            <w:pPr>
              <w:snapToGrid w:val="0"/>
              <w:rPr>
                <w:rFonts w:eastAsia="宋体"/>
                <w:sz w:val="18"/>
                <w:szCs w:val="18"/>
              </w:rPr>
            </w:pPr>
            <w:r>
              <w:rPr>
                <w:rFonts w:eastAsia="宋体"/>
                <w:sz w:val="18"/>
                <w:szCs w:val="18"/>
              </w:rPr>
              <w:t>1 000 000 devices per km2</w:t>
            </w:r>
          </w:p>
        </w:tc>
        <w:tc>
          <w:tcPr>
            <w:tcW w:w="952" w:type="pct"/>
            <w:tcBorders>
              <w:top w:val="single" w:sz="6" w:space="0" w:color="auto"/>
              <w:left w:val="nil"/>
              <w:bottom w:val="single" w:sz="6" w:space="0" w:color="auto"/>
              <w:right w:val="single" w:sz="6" w:space="0" w:color="auto"/>
            </w:tcBorders>
            <w:shd w:val="clear" w:color="auto" w:fill="FFFFFF"/>
          </w:tcPr>
          <w:p w14:paraId="6CDB9CEC" w14:textId="77777777" w:rsidR="000F77EA" w:rsidRDefault="000F77EA">
            <w:pPr>
              <w:snapToGrid w:val="0"/>
              <w:rPr>
                <w:rFonts w:eastAsia="宋体"/>
                <w:sz w:val="18"/>
                <w:szCs w:val="18"/>
              </w:rPr>
            </w:pPr>
          </w:p>
        </w:tc>
      </w:tr>
      <w:tr w:rsidR="000F77EA" w14:paraId="27EE976B" w14:textId="77777777">
        <w:trPr>
          <w:trHeight w:val="1042"/>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24F3F2EC" w14:textId="77777777" w:rsidR="000F77EA" w:rsidRDefault="00000000">
            <w:pPr>
              <w:snapToGrid w:val="0"/>
              <w:rPr>
                <w:rFonts w:eastAsia="宋体"/>
                <w:sz w:val="18"/>
                <w:szCs w:val="18"/>
              </w:rPr>
            </w:pPr>
            <w:r>
              <w:rPr>
                <w:rFonts w:eastAsia="宋体"/>
                <w:sz w:val="18"/>
                <w:szCs w:val="18"/>
              </w:rPr>
              <w:t>Mobility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DBB1D74" w14:textId="77777777" w:rsidR="000F77EA" w:rsidRDefault="00000000">
            <w:pPr>
              <w:snapToGrid w:val="0"/>
              <w:rPr>
                <w:rFonts w:eastAsia="宋体"/>
                <w:sz w:val="18"/>
                <w:szCs w:val="18"/>
              </w:rPr>
            </w:pPr>
            <w:r>
              <w:rPr>
                <w:rFonts w:eastAsia="宋体"/>
                <w:sz w:val="18"/>
                <w:szCs w:val="18"/>
              </w:rPr>
              <w:t>Add a mobility class for airplanes: 1000 km/h</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E65BD30" w14:textId="77777777" w:rsidR="000F77EA" w:rsidRDefault="000F77EA">
            <w:pPr>
              <w:snapToGrid w:val="0"/>
              <w:rPr>
                <w:rFonts w:eastAsia="宋体"/>
                <w:sz w:val="18"/>
                <w:szCs w:val="18"/>
              </w:rPr>
            </w:pPr>
          </w:p>
        </w:tc>
        <w:tc>
          <w:tcPr>
            <w:tcW w:w="953" w:type="pct"/>
            <w:tcBorders>
              <w:top w:val="single" w:sz="6" w:space="0" w:color="auto"/>
              <w:left w:val="nil"/>
              <w:bottom w:val="single" w:sz="6" w:space="0" w:color="auto"/>
              <w:right w:val="single" w:sz="6" w:space="0" w:color="auto"/>
            </w:tcBorders>
            <w:shd w:val="clear" w:color="auto" w:fill="FFFFFF"/>
            <w:vAlign w:val="center"/>
          </w:tcPr>
          <w:p w14:paraId="3017B04E" w14:textId="77777777" w:rsidR="000F77EA" w:rsidRDefault="00000000">
            <w:pPr>
              <w:snapToGrid w:val="0"/>
              <w:rPr>
                <w:rFonts w:eastAsia="宋体"/>
                <w:sz w:val="18"/>
                <w:szCs w:val="18"/>
              </w:rPr>
            </w:pPr>
            <w:r>
              <w:rPr>
                <w:rFonts w:eastAsia="宋体"/>
                <w:sz w:val="18"/>
                <w:szCs w:val="18"/>
              </w:rPr>
              <w:t>Stationary: 0 km/h</w:t>
            </w:r>
            <w:r>
              <w:rPr>
                <w:rFonts w:eastAsia="宋体"/>
                <w:sz w:val="18"/>
                <w:szCs w:val="18"/>
              </w:rPr>
              <w:br/>
              <w:t>Pedestrian: 0 km/h to 10 km/h</w:t>
            </w:r>
            <w:r>
              <w:rPr>
                <w:rFonts w:eastAsia="宋体"/>
                <w:sz w:val="18"/>
                <w:szCs w:val="18"/>
              </w:rPr>
              <w:br/>
              <w:t>Vehicular: 10 km/h to 120 km/h</w:t>
            </w:r>
            <w:r>
              <w:rPr>
                <w:rFonts w:eastAsia="宋体"/>
                <w:sz w:val="18"/>
                <w:szCs w:val="18"/>
              </w:rPr>
              <w:br/>
              <w:t>High speed vehicular: 120 km/h to 500 km/h.</w:t>
            </w:r>
          </w:p>
        </w:tc>
        <w:tc>
          <w:tcPr>
            <w:tcW w:w="952" w:type="pct"/>
            <w:tcBorders>
              <w:top w:val="single" w:sz="6" w:space="0" w:color="auto"/>
              <w:left w:val="nil"/>
              <w:bottom w:val="single" w:sz="6" w:space="0" w:color="auto"/>
              <w:right w:val="single" w:sz="6" w:space="0" w:color="auto"/>
            </w:tcBorders>
            <w:shd w:val="clear" w:color="auto" w:fill="FFFFFF"/>
          </w:tcPr>
          <w:p w14:paraId="17D38052" w14:textId="77777777" w:rsidR="000F77EA" w:rsidRDefault="00000000">
            <w:pPr>
              <w:snapToGrid w:val="0"/>
              <w:rPr>
                <w:rFonts w:eastAsia="宋体"/>
                <w:sz w:val="18"/>
                <w:szCs w:val="18"/>
              </w:rPr>
            </w:pPr>
            <w:r>
              <w:rPr>
                <w:rFonts w:eastAsia="宋体" w:hint="eastAsia"/>
                <w:sz w:val="18"/>
                <w:szCs w:val="18"/>
              </w:rPr>
              <w:t>ATG communications</w:t>
            </w:r>
          </w:p>
        </w:tc>
      </w:tr>
      <w:tr w:rsidR="000F77EA" w14:paraId="678279CA"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07339E3E" w14:textId="77777777" w:rsidR="000F77EA" w:rsidRDefault="00000000">
            <w:pPr>
              <w:snapToGrid w:val="0"/>
              <w:rPr>
                <w:rFonts w:eastAsia="宋体"/>
                <w:sz w:val="18"/>
                <w:szCs w:val="18"/>
              </w:rPr>
            </w:pPr>
            <w:r>
              <w:rPr>
                <w:rFonts w:eastAsia="宋体"/>
                <w:sz w:val="18"/>
                <w:szCs w:val="18"/>
              </w:rPr>
              <w:t>Mobility interruption time</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624A771B" w14:textId="77777777" w:rsidR="000F77EA" w:rsidRDefault="00000000">
            <w:pPr>
              <w:snapToGrid w:val="0"/>
              <w:rPr>
                <w:rFonts w:eastAsia="宋体"/>
                <w:sz w:val="18"/>
                <w:szCs w:val="18"/>
              </w:rPr>
            </w:pPr>
            <w:r>
              <w:rPr>
                <w:rFonts w:eastAsia="宋体" w:hint="eastAsia"/>
                <w:sz w:val="18"/>
                <w:szCs w:val="18"/>
              </w:rPr>
              <w:t>0</w:t>
            </w:r>
            <w:r>
              <w:rPr>
                <w:rFonts w:eastAsia="宋体"/>
                <w:sz w:val="18"/>
                <w:szCs w:val="18"/>
              </w:rPr>
              <w:t>ms</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DC824B1" w14:textId="77777777" w:rsidR="000F77EA" w:rsidRDefault="00000000">
            <w:pPr>
              <w:snapToGrid w:val="0"/>
              <w:rPr>
                <w:rFonts w:eastAsia="宋体"/>
                <w:sz w:val="18"/>
                <w:szCs w:val="18"/>
              </w:rPr>
            </w:pPr>
            <w:r>
              <w:rPr>
                <w:rFonts w:eastAsia="宋体"/>
                <w:sz w:val="18"/>
                <w:szCs w:val="18"/>
              </w:rPr>
              <w:t>Same as IMT</w:t>
            </w:r>
            <w:r>
              <w:rPr>
                <w:rFonts w:eastAsia="宋体" w:hint="eastAsia"/>
                <w:sz w:val="18"/>
                <w:szCs w:val="18"/>
              </w:rPr>
              <w:t>-</w:t>
            </w:r>
            <w:r>
              <w:rPr>
                <w:rFonts w:eastAsia="宋体"/>
                <w:sz w:val="18"/>
                <w:szCs w:val="18"/>
              </w:rPr>
              <w: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62348AFE" w14:textId="77777777" w:rsidR="000F77EA" w:rsidRDefault="00000000">
            <w:pPr>
              <w:snapToGrid w:val="0"/>
              <w:rPr>
                <w:rFonts w:eastAsia="宋体"/>
                <w:sz w:val="18"/>
                <w:szCs w:val="18"/>
              </w:rPr>
            </w:pPr>
            <w:r>
              <w:rPr>
                <w:rFonts w:eastAsia="宋体"/>
                <w:sz w:val="18"/>
                <w:szCs w:val="18"/>
              </w:rPr>
              <w:t>0ms</w:t>
            </w:r>
          </w:p>
        </w:tc>
        <w:tc>
          <w:tcPr>
            <w:tcW w:w="952" w:type="pct"/>
            <w:tcBorders>
              <w:top w:val="single" w:sz="6" w:space="0" w:color="auto"/>
              <w:left w:val="nil"/>
              <w:bottom w:val="single" w:sz="6" w:space="0" w:color="auto"/>
              <w:right w:val="single" w:sz="6" w:space="0" w:color="auto"/>
            </w:tcBorders>
            <w:shd w:val="clear" w:color="auto" w:fill="FFFFFF"/>
          </w:tcPr>
          <w:p w14:paraId="14C5134F" w14:textId="77777777" w:rsidR="000F77EA" w:rsidRDefault="000F77EA">
            <w:pPr>
              <w:snapToGrid w:val="0"/>
              <w:rPr>
                <w:rFonts w:eastAsia="宋体"/>
                <w:sz w:val="18"/>
                <w:szCs w:val="18"/>
              </w:rPr>
            </w:pPr>
          </w:p>
        </w:tc>
      </w:tr>
      <w:tr w:rsidR="000F77EA" w14:paraId="3637F767"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13872E26" w14:textId="77777777" w:rsidR="000F77EA" w:rsidRDefault="00000000">
            <w:pPr>
              <w:snapToGrid w:val="0"/>
              <w:rPr>
                <w:rFonts w:eastAsia="宋体"/>
                <w:sz w:val="18"/>
                <w:szCs w:val="18"/>
              </w:rPr>
            </w:pPr>
            <w:r>
              <w:rPr>
                <w:rFonts w:eastAsia="宋体"/>
                <w:sz w:val="18"/>
                <w:szCs w:val="18"/>
              </w:rPr>
              <w:t>Bandwidth</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40233A2" w14:textId="77777777" w:rsidR="000F77EA" w:rsidRDefault="00000000">
            <w:pPr>
              <w:snapToGrid w:val="0"/>
              <w:rPr>
                <w:rFonts w:eastAsia="宋体"/>
                <w:sz w:val="18"/>
                <w:szCs w:val="18"/>
              </w:rPr>
            </w:pPr>
            <w:r>
              <w:rPr>
                <w:rFonts w:eastAsia="宋体" w:hint="eastAsia"/>
                <w:sz w:val="18"/>
                <w:szCs w:val="18"/>
              </w:rPr>
              <w:t>4</w:t>
            </w:r>
            <w:r>
              <w:rPr>
                <w:rFonts w:eastAsia="宋体"/>
                <w:sz w:val="18"/>
                <w:szCs w:val="18"/>
              </w:rPr>
              <w:t>00 MHz</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2383A0CD" w14:textId="77777777" w:rsidR="000F77EA" w:rsidRDefault="00000000">
            <w:pPr>
              <w:snapToGrid w:val="0"/>
              <w:rPr>
                <w:rFonts w:eastAsia="宋体"/>
                <w:sz w:val="18"/>
                <w:szCs w:val="18"/>
              </w:rPr>
            </w:pPr>
            <w:r>
              <w:rPr>
                <w:rFonts w:eastAsia="宋体" w:hint="eastAsia"/>
                <w:sz w:val="18"/>
                <w:szCs w:val="18"/>
              </w:rPr>
              <w:t>4</w:t>
            </w:r>
            <w:r>
              <w:rPr>
                <w:rFonts w:eastAsia="宋体"/>
                <w:sz w:val="18"/>
                <w:szCs w:val="18"/>
              </w:rPr>
              <w:t>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0BBC8EE0" w14:textId="77777777" w:rsidR="000F77EA" w:rsidRDefault="00000000">
            <w:pPr>
              <w:snapToGrid w:val="0"/>
              <w:rPr>
                <w:rFonts w:eastAsia="宋体"/>
                <w:sz w:val="18"/>
                <w:szCs w:val="18"/>
              </w:rPr>
            </w:pPr>
            <w:r>
              <w:rPr>
                <w:rFonts w:eastAsia="宋体"/>
                <w:sz w:val="18"/>
                <w:szCs w:val="18"/>
              </w:rPr>
              <w:t>at least 100MHz</w:t>
            </w:r>
          </w:p>
        </w:tc>
        <w:tc>
          <w:tcPr>
            <w:tcW w:w="952" w:type="pct"/>
            <w:tcBorders>
              <w:top w:val="single" w:sz="6" w:space="0" w:color="auto"/>
              <w:left w:val="nil"/>
              <w:bottom w:val="single" w:sz="6" w:space="0" w:color="auto"/>
              <w:right w:val="single" w:sz="6" w:space="0" w:color="auto"/>
            </w:tcBorders>
            <w:shd w:val="clear" w:color="auto" w:fill="FFFFFF"/>
          </w:tcPr>
          <w:p w14:paraId="5BC1D5E7" w14:textId="77777777" w:rsidR="000F77EA" w:rsidRDefault="000F77EA">
            <w:pPr>
              <w:snapToGrid w:val="0"/>
              <w:rPr>
                <w:rFonts w:eastAsia="宋体"/>
                <w:sz w:val="18"/>
                <w:szCs w:val="18"/>
              </w:rPr>
            </w:pPr>
          </w:p>
        </w:tc>
      </w:tr>
      <w:tr w:rsidR="000F77EA" w14:paraId="3055D25D"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1C1B0742" w14:textId="77777777" w:rsidR="000F77EA" w:rsidRDefault="00000000">
            <w:pPr>
              <w:snapToGrid w:val="0"/>
              <w:rPr>
                <w:rFonts w:eastAsia="宋体"/>
                <w:sz w:val="18"/>
                <w:szCs w:val="18"/>
              </w:rPr>
            </w:pPr>
            <w:r>
              <w:rPr>
                <w:rFonts w:eastAsia="宋体"/>
                <w:sz w:val="18"/>
                <w:szCs w:val="18"/>
              </w:rPr>
              <w:t>Energy efficiency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3F22479" w14:textId="77777777" w:rsidR="000F77EA" w:rsidRDefault="00000000">
            <w:pPr>
              <w:snapToGrid w:val="0"/>
              <w:rPr>
                <w:rFonts w:eastAsia="宋体"/>
                <w:sz w:val="18"/>
                <w:szCs w:val="18"/>
              </w:rPr>
            </w:pPr>
            <w:r>
              <w:rPr>
                <w:rFonts w:eastAsia="宋体" w:hint="eastAsia"/>
                <w:sz w:val="18"/>
                <w:szCs w:val="18"/>
              </w:rPr>
              <w:t>T</w:t>
            </w:r>
            <w:r>
              <w:rPr>
                <w:rFonts w:eastAsia="宋体"/>
                <w:sz w:val="18"/>
                <w:szCs w:val="18"/>
              </w:rPr>
              <w:t>BD</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B6E2A53" w14:textId="77777777" w:rsidR="000F77EA" w:rsidRDefault="000F77EA">
            <w:pPr>
              <w:snapToGrid w:val="0"/>
              <w:rPr>
                <w:rFonts w:eastAsia="宋体"/>
                <w:sz w:val="18"/>
                <w:szCs w:val="18"/>
              </w:rPr>
            </w:pPr>
          </w:p>
        </w:tc>
        <w:tc>
          <w:tcPr>
            <w:tcW w:w="953" w:type="pct"/>
            <w:tcBorders>
              <w:top w:val="single" w:sz="6" w:space="0" w:color="auto"/>
              <w:left w:val="nil"/>
              <w:bottom w:val="single" w:sz="6" w:space="0" w:color="auto"/>
              <w:right w:val="single" w:sz="6" w:space="0" w:color="auto"/>
            </w:tcBorders>
            <w:shd w:val="clear" w:color="auto" w:fill="FFFFFF"/>
            <w:vAlign w:val="center"/>
          </w:tcPr>
          <w:p w14:paraId="1C5A6901" w14:textId="77777777" w:rsidR="000F77EA" w:rsidRDefault="00000000">
            <w:pPr>
              <w:snapToGrid w:val="0"/>
              <w:rPr>
                <w:rFonts w:eastAsia="宋体"/>
                <w:sz w:val="18"/>
                <w:szCs w:val="18"/>
              </w:rPr>
            </w:pPr>
            <w:r>
              <w:rPr>
                <w:rFonts w:eastAsia="宋体" w:hint="eastAsia"/>
                <w:sz w:val="18"/>
                <w:szCs w:val="18"/>
              </w:rPr>
              <w:t>/</w:t>
            </w:r>
          </w:p>
        </w:tc>
        <w:tc>
          <w:tcPr>
            <w:tcW w:w="952" w:type="pct"/>
            <w:tcBorders>
              <w:top w:val="single" w:sz="6" w:space="0" w:color="auto"/>
              <w:left w:val="nil"/>
              <w:bottom w:val="single" w:sz="6" w:space="0" w:color="auto"/>
              <w:right w:val="single" w:sz="6" w:space="0" w:color="auto"/>
            </w:tcBorders>
            <w:shd w:val="clear" w:color="auto" w:fill="FFFFFF"/>
          </w:tcPr>
          <w:p w14:paraId="537AFD57" w14:textId="77777777" w:rsidR="000F77EA" w:rsidRDefault="000F77EA">
            <w:pPr>
              <w:snapToGrid w:val="0"/>
              <w:rPr>
                <w:rFonts w:eastAsia="宋体"/>
                <w:sz w:val="18"/>
                <w:szCs w:val="18"/>
              </w:rPr>
            </w:pPr>
          </w:p>
        </w:tc>
      </w:tr>
      <w:tr w:rsidR="000F77EA" w14:paraId="4F8B1559"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677418DE" w14:textId="77777777" w:rsidR="000F77EA" w:rsidRDefault="00000000">
            <w:pPr>
              <w:snapToGrid w:val="0"/>
              <w:rPr>
                <w:rFonts w:eastAsia="宋体"/>
                <w:sz w:val="18"/>
                <w:szCs w:val="18"/>
              </w:rPr>
            </w:pPr>
            <w:r>
              <w:rPr>
                <w:rFonts w:eastAsia="宋体"/>
                <w:sz w:val="18"/>
                <w:szCs w:val="18"/>
              </w:rPr>
              <w:t>Sensing related capability</w:t>
            </w:r>
          </w:p>
          <w:p w14:paraId="6BEAE9BE" w14:textId="77777777" w:rsidR="000F77EA" w:rsidRDefault="00000000">
            <w:pPr>
              <w:widowControl/>
              <w:numPr>
                <w:ilvl w:val="0"/>
                <w:numId w:val="5"/>
              </w:numPr>
              <w:snapToGrid w:val="0"/>
              <w:spacing w:before="100" w:beforeAutospacing="1"/>
              <w:rPr>
                <w:rFonts w:eastAsia="宋体"/>
                <w:sz w:val="18"/>
                <w:szCs w:val="18"/>
              </w:rPr>
            </w:pPr>
            <w:r>
              <w:rPr>
                <w:rFonts w:eastAsia="宋体"/>
                <w:sz w:val="18"/>
                <w:szCs w:val="18"/>
              </w:rPr>
              <w:t>Detectability (Detection / False Alarm Probability)</w:t>
            </w:r>
          </w:p>
          <w:p w14:paraId="2E1609D9" w14:textId="77777777" w:rsidR="000F77EA" w:rsidRDefault="00000000">
            <w:pPr>
              <w:widowControl/>
              <w:numPr>
                <w:ilvl w:val="0"/>
                <w:numId w:val="5"/>
              </w:numPr>
              <w:snapToGrid w:val="0"/>
              <w:spacing w:before="100" w:beforeAutospacing="1"/>
              <w:rPr>
                <w:rFonts w:eastAsia="宋体"/>
                <w:sz w:val="18"/>
                <w:szCs w:val="18"/>
              </w:rPr>
            </w:pPr>
            <w:r>
              <w:rPr>
                <w:rFonts w:eastAsia="宋体"/>
                <w:sz w:val="18"/>
                <w:szCs w:val="18"/>
              </w:rPr>
              <w:t>Localization accuracy</w:t>
            </w:r>
          </w:p>
          <w:p w14:paraId="1E848BFF" w14:textId="77777777" w:rsidR="000F77EA" w:rsidRDefault="00000000">
            <w:pPr>
              <w:widowControl/>
              <w:numPr>
                <w:ilvl w:val="0"/>
                <w:numId w:val="5"/>
              </w:numPr>
              <w:snapToGrid w:val="0"/>
              <w:spacing w:before="100" w:beforeAutospacing="1"/>
              <w:rPr>
                <w:rFonts w:eastAsia="宋体"/>
                <w:sz w:val="18"/>
                <w:szCs w:val="18"/>
              </w:rPr>
            </w:pPr>
            <w:r>
              <w:rPr>
                <w:rFonts w:eastAsia="宋体"/>
                <w:sz w:val="18"/>
                <w:szCs w:val="18"/>
              </w:rPr>
              <w:t>Velocity accuracy</w:t>
            </w:r>
          </w:p>
          <w:p w14:paraId="5DFB7806" w14:textId="77777777" w:rsidR="000F77EA" w:rsidRDefault="00000000">
            <w:pPr>
              <w:widowControl/>
              <w:numPr>
                <w:ilvl w:val="0"/>
                <w:numId w:val="5"/>
              </w:numPr>
              <w:snapToGrid w:val="0"/>
              <w:spacing w:before="100" w:beforeAutospacing="1"/>
              <w:rPr>
                <w:rFonts w:eastAsia="宋体"/>
                <w:sz w:val="18"/>
                <w:szCs w:val="18"/>
              </w:rPr>
            </w:pPr>
            <w:r>
              <w:rPr>
                <w:rFonts w:eastAsia="宋体"/>
                <w:sz w:val="18"/>
                <w:szCs w:val="18"/>
              </w:rPr>
              <w:t>Sensing resolution</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13385579" w14:textId="77777777" w:rsidR="000F77EA" w:rsidRDefault="00000000">
            <w:pPr>
              <w:widowControl/>
              <w:numPr>
                <w:ilvl w:val="0"/>
                <w:numId w:val="6"/>
              </w:numPr>
              <w:snapToGrid w:val="0"/>
              <w:spacing w:before="100" w:beforeAutospacing="1"/>
              <w:ind w:left="216" w:hanging="216"/>
              <w:rPr>
                <w:rFonts w:eastAsia="宋体"/>
                <w:sz w:val="18"/>
                <w:szCs w:val="18"/>
              </w:rPr>
            </w:pPr>
            <w:r>
              <w:rPr>
                <w:rFonts w:eastAsia="宋体"/>
                <w:sz w:val="18"/>
                <w:szCs w:val="18"/>
              </w:rPr>
              <w:t>Detection</w:t>
            </w:r>
            <w:r>
              <w:rPr>
                <w:rFonts w:eastAsia="宋体" w:hint="eastAsia"/>
                <w:sz w:val="18"/>
                <w:szCs w:val="18"/>
              </w:rPr>
              <w:t>:</w:t>
            </w:r>
            <w:r>
              <w:rPr>
                <w:rFonts w:eastAsia="宋体"/>
                <w:sz w:val="18"/>
                <w:szCs w:val="18"/>
              </w:rPr>
              <w:t xml:space="preserve"> 95%</w:t>
            </w:r>
          </w:p>
          <w:p w14:paraId="7333CDE2" w14:textId="77777777" w:rsidR="000F77EA" w:rsidRDefault="00000000">
            <w:pPr>
              <w:widowControl/>
              <w:numPr>
                <w:ilvl w:val="0"/>
                <w:numId w:val="6"/>
              </w:numPr>
              <w:snapToGrid w:val="0"/>
              <w:spacing w:before="100" w:beforeAutospacing="1"/>
              <w:ind w:left="216" w:hanging="216"/>
              <w:rPr>
                <w:rFonts w:eastAsia="宋体"/>
                <w:sz w:val="18"/>
                <w:szCs w:val="18"/>
              </w:rPr>
            </w:pPr>
            <w:r>
              <w:rPr>
                <w:rFonts w:eastAsia="宋体" w:hint="eastAsia"/>
                <w:sz w:val="18"/>
                <w:szCs w:val="18"/>
              </w:rPr>
              <w:t>F</w:t>
            </w:r>
            <w:r>
              <w:rPr>
                <w:rFonts w:eastAsia="宋体"/>
                <w:sz w:val="18"/>
                <w:szCs w:val="18"/>
              </w:rPr>
              <w:t xml:space="preserve">alse alarm: 5% </w:t>
            </w:r>
          </w:p>
          <w:p w14:paraId="256E4985" w14:textId="77777777" w:rsidR="000F77EA" w:rsidRDefault="00000000">
            <w:pPr>
              <w:widowControl/>
              <w:numPr>
                <w:ilvl w:val="0"/>
                <w:numId w:val="6"/>
              </w:numPr>
              <w:snapToGrid w:val="0"/>
              <w:spacing w:before="100" w:beforeAutospacing="1"/>
              <w:ind w:left="216" w:hanging="216"/>
              <w:rPr>
                <w:rFonts w:eastAsia="宋体"/>
                <w:sz w:val="18"/>
                <w:szCs w:val="18"/>
              </w:rPr>
            </w:pPr>
            <w:r>
              <w:rPr>
                <w:rFonts w:eastAsia="宋体" w:hint="eastAsia"/>
                <w:sz w:val="18"/>
                <w:szCs w:val="18"/>
              </w:rPr>
              <w:t>H</w:t>
            </w:r>
            <w:r>
              <w:rPr>
                <w:rFonts w:eastAsia="宋体"/>
                <w:sz w:val="18"/>
                <w:szCs w:val="18"/>
              </w:rPr>
              <w:t>orizontal accuracy</w:t>
            </w:r>
            <w:r>
              <w:rPr>
                <w:rFonts w:eastAsia="宋体" w:hint="eastAsia"/>
                <w:sz w:val="18"/>
                <w:szCs w:val="18"/>
              </w:rPr>
              <w:t>:</w:t>
            </w:r>
            <w:r>
              <w:rPr>
                <w:rFonts w:eastAsia="宋体"/>
                <w:sz w:val="18"/>
                <w:szCs w:val="18"/>
              </w:rPr>
              <w:t xml:space="preserve"> 2m </w:t>
            </w:r>
          </w:p>
          <w:p w14:paraId="130734E2" w14:textId="77777777" w:rsidR="000F77EA" w:rsidRDefault="00000000">
            <w:pPr>
              <w:widowControl/>
              <w:numPr>
                <w:ilvl w:val="0"/>
                <w:numId w:val="6"/>
              </w:numPr>
              <w:snapToGrid w:val="0"/>
              <w:spacing w:before="100" w:beforeAutospacing="1"/>
              <w:ind w:left="216" w:hanging="216"/>
              <w:rPr>
                <w:rFonts w:eastAsia="宋体"/>
                <w:sz w:val="18"/>
                <w:szCs w:val="18"/>
              </w:rPr>
            </w:pPr>
            <w:r>
              <w:rPr>
                <w:rFonts w:eastAsia="宋体" w:hint="eastAsia"/>
                <w:sz w:val="18"/>
                <w:szCs w:val="18"/>
              </w:rPr>
              <w:t>V</w:t>
            </w:r>
            <w:r>
              <w:rPr>
                <w:rFonts w:eastAsia="宋体"/>
                <w:sz w:val="18"/>
                <w:szCs w:val="18"/>
              </w:rPr>
              <w:t>ertical localization accuracy</w:t>
            </w:r>
            <w:r>
              <w:rPr>
                <w:rFonts w:eastAsia="宋体" w:hint="eastAsia"/>
                <w:sz w:val="18"/>
                <w:szCs w:val="18"/>
              </w:rPr>
              <w:t>:</w:t>
            </w:r>
            <w:r>
              <w:rPr>
                <w:rFonts w:eastAsia="宋体"/>
                <w:sz w:val="18"/>
                <w:szCs w:val="18"/>
              </w:rPr>
              <w:t xml:space="preserve"> 5m </w:t>
            </w:r>
          </w:p>
          <w:p w14:paraId="1684731C" w14:textId="77777777" w:rsidR="000F77EA" w:rsidRDefault="00000000">
            <w:pPr>
              <w:widowControl/>
              <w:numPr>
                <w:ilvl w:val="0"/>
                <w:numId w:val="6"/>
              </w:numPr>
              <w:snapToGrid w:val="0"/>
              <w:spacing w:before="100" w:beforeAutospacing="1"/>
              <w:ind w:left="216" w:hanging="216"/>
              <w:rPr>
                <w:rFonts w:eastAsia="宋体"/>
                <w:sz w:val="18"/>
                <w:szCs w:val="18"/>
              </w:rPr>
            </w:pPr>
            <w:r>
              <w:rPr>
                <w:rFonts w:eastAsia="宋体" w:hint="eastAsia"/>
                <w:sz w:val="18"/>
                <w:szCs w:val="18"/>
              </w:rPr>
              <w:t>V</w:t>
            </w:r>
            <w:r>
              <w:rPr>
                <w:rFonts w:eastAsia="宋体"/>
                <w:sz w:val="18"/>
                <w:szCs w:val="18"/>
              </w:rPr>
              <w:t xml:space="preserve">elocity accuracy </w:t>
            </w:r>
            <w:r>
              <w:rPr>
                <w:rFonts w:eastAsia="宋体" w:hint="eastAsia"/>
                <w:sz w:val="18"/>
                <w:szCs w:val="18"/>
              </w:rPr>
              <w:t xml:space="preserve">: </w:t>
            </w:r>
            <w:r>
              <w:rPr>
                <w:rFonts w:eastAsia="宋体"/>
                <w:sz w:val="18"/>
                <w:szCs w:val="18"/>
              </w:rPr>
              <w:t>1m/s.</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7240A4B4" w14:textId="77777777" w:rsidR="000F77EA" w:rsidRDefault="00000000">
            <w:pPr>
              <w:snapToGrid w:val="0"/>
              <w:rPr>
                <w:rFonts w:eastAsia="宋体"/>
                <w:sz w:val="18"/>
                <w:szCs w:val="18"/>
              </w:rPr>
            </w:pPr>
            <w:r>
              <w:rPr>
                <w:rFonts w:eastAsia="宋体"/>
                <w:sz w:val="18"/>
                <w:szCs w:val="18"/>
              </w:rPr>
              <w:t>Refer to TS 22.137 sensing service category 2</w:t>
            </w:r>
          </w:p>
        </w:tc>
        <w:tc>
          <w:tcPr>
            <w:tcW w:w="953" w:type="pct"/>
            <w:tcBorders>
              <w:top w:val="single" w:sz="6" w:space="0" w:color="auto"/>
              <w:left w:val="nil"/>
              <w:bottom w:val="single" w:sz="6" w:space="0" w:color="auto"/>
              <w:right w:val="single" w:sz="6" w:space="0" w:color="auto"/>
            </w:tcBorders>
            <w:shd w:val="clear" w:color="auto" w:fill="FFFFFF"/>
            <w:vAlign w:val="center"/>
          </w:tcPr>
          <w:p w14:paraId="34FB7BB0" w14:textId="77777777" w:rsidR="000F77EA" w:rsidRDefault="00000000">
            <w:pPr>
              <w:snapToGrid w:val="0"/>
              <w:rPr>
                <w:rFonts w:eastAsia="宋体"/>
                <w:sz w:val="18"/>
                <w:szCs w:val="18"/>
              </w:rPr>
            </w:pPr>
            <w:r>
              <w:rPr>
                <w:rFonts w:eastAsia="宋体" w:hint="eastAsia"/>
                <w:sz w:val="18"/>
                <w:szCs w:val="18"/>
              </w:rPr>
              <w:t>/</w:t>
            </w:r>
          </w:p>
        </w:tc>
        <w:tc>
          <w:tcPr>
            <w:tcW w:w="952" w:type="pct"/>
            <w:tcBorders>
              <w:top w:val="single" w:sz="6" w:space="0" w:color="auto"/>
              <w:left w:val="nil"/>
              <w:bottom w:val="single" w:sz="6" w:space="0" w:color="auto"/>
              <w:right w:val="single" w:sz="6" w:space="0" w:color="auto"/>
            </w:tcBorders>
            <w:shd w:val="clear" w:color="auto" w:fill="FFFFFF"/>
          </w:tcPr>
          <w:p w14:paraId="2EC4D0CD" w14:textId="77777777" w:rsidR="000F77EA" w:rsidRDefault="000F77EA">
            <w:pPr>
              <w:snapToGrid w:val="0"/>
              <w:rPr>
                <w:rFonts w:eastAsia="宋体"/>
                <w:sz w:val="18"/>
                <w:szCs w:val="18"/>
              </w:rPr>
            </w:pPr>
          </w:p>
        </w:tc>
      </w:tr>
      <w:tr w:rsidR="000F77EA" w14:paraId="62D48756"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25BEDF1C" w14:textId="77777777" w:rsidR="000F77EA" w:rsidRDefault="00000000">
            <w:pPr>
              <w:snapToGrid w:val="0"/>
              <w:rPr>
                <w:rFonts w:eastAsia="宋体"/>
                <w:sz w:val="18"/>
                <w:szCs w:val="18"/>
              </w:rPr>
            </w:pPr>
            <w:r>
              <w:rPr>
                <w:rFonts w:eastAsia="宋体"/>
                <w:sz w:val="18"/>
                <w:szCs w:val="18"/>
              </w:rPr>
              <w:t>Composite requirement on data rate, latency, reliability and capacity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2681FE9A" w14:textId="77777777" w:rsidR="000F77EA" w:rsidRDefault="00000000">
            <w:pPr>
              <w:snapToGrid w:val="0"/>
              <w:rPr>
                <w:rFonts w:eastAsia="宋体"/>
                <w:sz w:val="18"/>
                <w:szCs w:val="18"/>
              </w:rPr>
            </w:pPr>
            <w:r>
              <w:rPr>
                <w:rFonts w:eastAsia="宋体" w:hint="eastAsia"/>
                <w:sz w:val="18"/>
                <w:szCs w:val="18"/>
              </w:rPr>
              <w:t>T</w:t>
            </w:r>
            <w:r>
              <w:rPr>
                <w:rFonts w:eastAsia="宋体"/>
                <w:sz w:val="18"/>
                <w:szCs w:val="18"/>
              </w:rPr>
              <w:t>BD</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64113415" w14:textId="77777777" w:rsidR="000F77EA" w:rsidRDefault="000F77EA">
            <w:pPr>
              <w:snapToGrid w:val="0"/>
              <w:rPr>
                <w:rFonts w:eastAsia="宋体"/>
                <w:sz w:val="18"/>
                <w:szCs w:val="18"/>
              </w:rPr>
            </w:pPr>
          </w:p>
        </w:tc>
        <w:tc>
          <w:tcPr>
            <w:tcW w:w="953" w:type="pct"/>
            <w:tcBorders>
              <w:top w:val="single" w:sz="6" w:space="0" w:color="auto"/>
              <w:left w:val="nil"/>
              <w:bottom w:val="single" w:sz="6" w:space="0" w:color="auto"/>
              <w:right w:val="single" w:sz="6" w:space="0" w:color="auto"/>
            </w:tcBorders>
            <w:shd w:val="clear" w:color="auto" w:fill="FFFFFF"/>
            <w:vAlign w:val="center"/>
          </w:tcPr>
          <w:p w14:paraId="0307F72E" w14:textId="77777777" w:rsidR="000F77EA" w:rsidRDefault="00000000">
            <w:pPr>
              <w:snapToGrid w:val="0"/>
              <w:rPr>
                <w:rFonts w:eastAsia="宋体"/>
                <w:sz w:val="18"/>
                <w:szCs w:val="18"/>
              </w:rPr>
            </w:pPr>
            <w:r>
              <w:rPr>
                <w:rFonts w:eastAsia="宋体" w:hint="eastAsia"/>
                <w:sz w:val="18"/>
                <w:szCs w:val="18"/>
              </w:rPr>
              <w:t>/</w:t>
            </w:r>
          </w:p>
        </w:tc>
        <w:tc>
          <w:tcPr>
            <w:tcW w:w="952" w:type="pct"/>
            <w:tcBorders>
              <w:top w:val="single" w:sz="6" w:space="0" w:color="auto"/>
              <w:left w:val="nil"/>
              <w:bottom w:val="single" w:sz="6" w:space="0" w:color="auto"/>
              <w:right w:val="single" w:sz="6" w:space="0" w:color="auto"/>
            </w:tcBorders>
            <w:shd w:val="clear" w:color="auto" w:fill="FFFFFF"/>
          </w:tcPr>
          <w:p w14:paraId="63A24240" w14:textId="77777777" w:rsidR="000F77EA" w:rsidRDefault="000F77EA">
            <w:pPr>
              <w:snapToGrid w:val="0"/>
              <w:rPr>
                <w:rFonts w:eastAsia="宋体"/>
                <w:sz w:val="18"/>
                <w:szCs w:val="18"/>
              </w:rPr>
            </w:pPr>
          </w:p>
        </w:tc>
      </w:tr>
      <w:tr w:rsidR="000F77EA" w14:paraId="4CAC74EF"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0E58E947" w14:textId="77777777" w:rsidR="000F77EA" w:rsidRDefault="00000000">
            <w:pPr>
              <w:snapToGrid w:val="0"/>
              <w:rPr>
                <w:rFonts w:eastAsia="宋体"/>
                <w:sz w:val="18"/>
                <w:szCs w:val="18"/>
              </w:rPr>
            </w:pPr>
            <w:r>
              <w:rPr>
                <w:rFonts w:eastAsia="宋体" w:hint="eastAsia"/>
                <w:sz w:val="18"/>
                <w:szCs w:val="18"/>
              </w:rPr>
              <w:t>P</w:t>
            </w:r>
            <w:r>
              <w:rPr>
                <w:rFonts w:eastAsia="宋体"/>
                <w:sz w:val="18"/>
                <w:szCs w:val="18"/>
              </w:rPr>
              <w:t>ositioning</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3FA0603" w14:textId="77777777" w:rsidR="000F77EA" w:rsidRDefault="00000000">
            <w:pPr>
              <w:snapToGrid w:val="0"/>
              <w:rPr>
                <w:rFonts w:eastAsia="宋体"/>
                <w:sz w:val="18"/>
                <w:szCs w:val="18"/>
              </w:rPr>
            </w:pPr>
            <w:r>
              <w:rPr>
                <w:rFonts w:eastAsia="宋体" w:hint="eastAsia"/>
                <w:sz w:val="18"/>
                <w:szCs w:val="18"/>
              </w:rPr>
              <w:t xml:space="preserve">Horizontal accuracy: </w:t>
            </w:r>
          </w:p>
          <w:p w14:paraId="29C563ED" w14:textId="77777777" w:rsidR="000F77EA" w:rsidRDefault="00000000">
            <w:pPr>
              <w:snapToGrid w:val="0"/>
              <w:rPr>
                <w:rFonts w:eastAsia="宋体"/>
                <w:sz w:val="18"/>
                <w:szCs w:val="18"/>
              </w:rPr>
            </w:pPr>
            <w:r>
              <w:rPr>
                <w:rFonts w:eastAsia="宋体" w:hint="eastAsia"/>
                <w:sz w:val="18"/>
                <w:szCs w:val="18"/>
              </w:rPr>
              <w:t>I</w:t>
            </w:r>
            <w:r>
              <w:rPr>
                <w:rFonts w:eastAsia="宋体"/>
                <w:sz w:val="18"/>
                <w:szCs w:val="18"/>
              </w:rPr>
              <w:t>ndoor factory: 0.</w:t>
            </w:r>
            <w:r>
              <w:rPr>
                <w:rFonts w:eastAsia="宋体" w:hint="eastAsia"/>
                <w:sz w:val="18"/>
                <w:szCs w:val="18"/>
              </w:rPr>
              <w:t>2</w:t>
            </w:r>
            <w:r>
              <w:rPr>
                <w:rFonts w:eastAsia="宋体"/>
                <w:sz w:val="18"/>
                <w:szCs w:val="18"/>
              </w:rPr>
              <w:t>m-1m</w:t>
            </w:r>
          </w:p>
          <w:p w14:paraId="149755D7" w14:textId="77777777" w:rsidR="000F77EA" w:rsidRDefault="00000000">
            <w:pPr>
              <w:snapToGrid w:val="0"/>
              <w:rPr>
                <w:rFonts w:eastAsia="宋体"/>
                <w:sz w:val="18"/>
                <w:szCs w:val="18"/>
              </w:rPr>
            </w:pPr>
            <w:r>
              <w:rPr>
                <w:rFonts w:eastAsia="宋体"/>
                <w:sz w:val="18"/>
                <w:szCs w:val="18"/>
              </w:rPr>
              <w:t>outdoor: 1m-3m</w:t>
            </w:r>
          </w:p>
          <w:p w14:paraId="0CC4CB50" w14:textId="77777777" w:rsidR="000F77EA" w:rsidRDefault="00000000">
            <w:pPr>
              <w:snapToGrid w:val="0"/>
              <w:rPr>
                <w:rFonts w:eastAsia="宋体"/>
                <w:sz w:val="18"/>
                <w:szCs w:val="18"/>
              </w:rPr>
            </w:pPr>
            <w:r>
              <w:rPr>
                <w:rFonts w:eastAsia="宋体" w:hint="eastAsia"/>
                <w:sz w:val="18"/>
                <w:szCs w:val="18"/>
              </w:rPr>
              <w:t xml:space="preserve">Vertical accuracy: </w:t>
            </w:r>
          </w:p>
          <w:p w14:paraId="74B863FF" w14:textId="77777777" w:rsidR="000F77EA" w:rsidRDefault="00000000">
            <w:pPr>
              <w:snapToGrid w:val="0"/>
              <w:rPr>
                <w:rFonts w:eastAsia="宋体"/>
                <w:sz w:val="18"/>
                <w:szCs w:val="18"/>
              </w:rPr>
            </w:pPr>
            <w:r>
              <w:rPr>
                <w:rFonts w:eastAsia="宋体" w:hint="eastAsia"/>
                <w:sz w:val="18"/>
                <w:szCs w:val="18"/>
              </w:rPr>
              <w:t>I</w:t>
            </w:r>
            <w:r>
              <w:rPr>
                <w:rFonts w:eastAsia="宋体"/>
                <w:sz w:val="18"/>
                <w:szCs w:val="18"/>
              </w:rPr>
              <w:t>ndoor factory: 1m</w:t>
            </w:r>
            <w:r>
              <w:rPr>
                <w:rFonts w:eastAsia="宋体" w:hint="eastAsia"/>
                <w:sz w:val="18"/>
                <w:szCs w:val="18"/>
              </w:rPr>
              <w:t xml:space="preserve"> - 3m</w:t>
            </w:r>
          </w:p>
          <w:p w14:paraId="38974F10" w14:textId="5E86FD56" w:rsidR="000F77EA" w:rsidRDefault="00000000" w:rsidP="00AE5920">
            <w:pPr>
              <w:snapToGrid w:val="0"/>
              <w:rPr>
                <w:rFonts w:eastAsia="宋体"/>
                <w:sz w:val="18"/>
                <w:szCs w:val="18"/>
              </w:rPr>
            </w:pPr>
            <w:r>
              <w:rPr>
                <w:rFonts w:eastAsia="宋体"/>
                <w:sz w:val="18"/>
                <w:szCs w:val="18"/>
              </w:rPr>
              <w:t>outdoor: 3m</w:t>
            </w:r>
            <w:r>
              <w:rPr>
                <w:rFonts w:eastAsia="宋体" w:hint="eastAsia"/>
                <w:sz w:val="18"/>
                <w:szCs w:val="18"/>
              </w:rPr>
              <w:t xml:space="preserve"> - 5m</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1FC0FA12" w14:textId="77777777" w:rsidR="000F77EA" w:rsidRDefault="00000000">
            <w:pPr>
              <w:snapToGrid w:val="0"/>
              <w:rPr>
                <w:rFonts w:eastAsia="宋体"/>
                <w:sz w:val="18"/>
                <w:szCs w:val="18"/>
              </w:rPr>
            </w:pPr>
            <w:r>
              <w:rPr>
                <w:rFonts w:eastAsia="宋体" w:hint="eastAsia"/>
                <w:sz w:val="18"/>
                <w:szCs w:val="18"/>
              </w:rPr>
              <w:t>R</w:t>
            </w:r>
            <w:r>
              <w:rPr>
                <w:rFonts w:eastAsia="宋体"/>
                <w:sz w:val="18"/>
                <w:szCs w:val="18"/>
              </w:rPr>
              <w:t>efer to TR 38.85</w:t>
            </w:r>
            <w:r>
              <w:rPr>
                <w:rFonts w:eastAsia="宋体" w:hint="eastAsia"/>
                <w:sz w:val="18"/>
                <w:szCs w:val="18"/>
              </w:rPr>
              <w:t>5,</w:t>
            </w:r>
            <w:r>
              <w:rPr>
                <w:rFonts w:eastAsia="宋体"/>
                <w:sz w:val="18"/>
                <w:szCs w:val="18"/>
              </w:rPr>
              <w:t xml:space="preserve"> TR</w:t>
            </w:r>
            <w:r>
              <w:rPr>
                <w:rFonts w:eastAsia="宋体" w:hint="eastAsia"/>
                <w:sz w:val="18"/>
                <w:szCs w:val="18"/>
              </w:rPr>
              <w:t xml:space="preserve"> 38.857</w:t>
            </w:r>
          </w:p>
        </w:tc>
        <w:tc>
          <w:tcPr>
            <w:tcW w:w="953" w:type="pct"/>
            <w:tcBorders>
              <w:top w:val="single" w:sz="6" w:space="0" w:color="auto"/>
              <w:left w:val="nil"/>
              <w:bottom w:val="single" w:sz="6" w:space="0" w:color="auto"/>
              <w:right w:val="single" w:sz="6" w:space="0" w:color="auto"/>
            </w:tcBorders>
            <w:shd w:val="clear" w:color="auto" w:fill="FFFFFF"/>
            <w:vAlign w:val="center"/>
          </w:tcPr>
          <w:p w14:paraId="49465589" w14:textId="77777777" w:rsidR="000F77EA" w:rsidRDefault="00000000">
            <w:pPr>
              <w:snapToGrid w:val="0"/>
              <w:rPr>
                <w:rFonts w:eastAsia="宋体"/>
                <w:sz w:val="18"/>
                <w:szCs w:val="18"/>
              </w:rPr>
            </w:pPr>
            <w:r>
              <w:rPr>
                <w:rFonts w:eastAsia="宋体" w:hint="eastAsia"/>
                <w:sz w:val="18"/>
                <w:szCs w:val="18"/>
              </w:rPr>
              <w:t>/</w:t>
            </w:r>
          </w:p>
        </w:tc>
        <w:tc>
          <w:tcPr>
            <w:tcW w:w="952" w:type="pct"/>
            <w:tcBorders>
              <w:top w:val="single" w:sz="6" w:space="0" w:color="auto"/>
              <w:left w:val="nil"/>
              <w:bottom w:val="single" w:sz="6" w:space="0" w:color="auto"/>
              <w:right w:val="single" w:sz="6" w:space="0" w:color="auto"/>
            </w:tcBorders>
            <w:shd w:val="clear" w:color="auto" w:fill="FFFFFF"/>
          </w:tcPr>
          <w:p w14:paraId="2A4C502C" w14:textId="77777777" w:rsidR="000F77EA" w:rsidRDefault="000F77EA">
            <w:pPr>
              <w:snapToGrid w:val="0"/>
              <w:rPr>
                <w:rFonts w:eastAsia="宋体"/>
                <w:sz w:val="18"/>
                <w:szCs w:val="18"/>
              </w:rPr>
            </w:pPr>
          </w:p>
        </w:tc>
      </w:tr>
    </w:tbl>
    <w:p w14:paraId="0F0EE392" w14:textId="77777777" w:rsidR="000F77EA" w:rsidRDefault="000F77EA">
      <w:pPr>
        <w:spacing w:line="276" w:lineRule="auto"/>
        <w:rPr>
          <w:rFonts w:ascii="Times New Roman" w:hAnsi="Times New Roman" w:cs="Times New Roman"/>
        </w:rPr>
      </w:pPr>
    </w:p>
    <w:p w14:paraId="493D1D59" w14:textId="77777777" w:rsidR="000F77EA" w:rsidRDefault="00000000">
      <w:pPr>
        <w:spacing w:line="276" w:lineRule="auto"/>
        <w:rPr>
          <w:rFonts w:ascii="Times New Roman" w:hAnsi="Times New Roman" w:cs="Times New Roman"/>
        </w:rPr>
      </w:pPr>
      <w:r>
        <w:rPr>
          <w:rFonts w:ascii="Times New Roman" w:hAnsi="Times New Roman" w:cs="Times New Roman" w:hint="eastAsia"/>
        </w:rPr>
        <w:t xml:space="preserve">It is also worth noting that in the ITU-R, spectrum allocation is a critical mission and the ultimate task and lots of work can be seen as </w:t>
      </w:r>
      <w:r>
        <w:rPr>
          <w:rFonts w:ascii="Times New Roman" w:hAnsi="Times New Roman" w:cs="Times New Roman"/>
        </w:rPr>
        <w:t>preparatory</w:t>
      </w:r>
      <w:r>
        <w:rPr>
          <w:rFonts w:ascii="Times New Roman" w:hAnsi="Times New Roman" w:cs="Times New Roman" w:hint="eastAsia"/>
        </w:rPr>
        <w:t xml:space="preserve"> for spectrum allocation, including the TPRs and evaluations for IMT-2030. In this sense, defining moderately advanced TPR values for IMT-2030 benefit the IMT industry in terms of demonstrating an advanced system performance compared to IMT-2020 and place the IMT industry in a better position to compete for spectrum with other RATs.</w:t>
      </w:r>
    </w:p>
    <w:p w14:paraId="489BB9D8" w14:textId="77777777" w:rsidR="000F77EA" w:rsidRDefault="00000000">
      <w:pPr>
        <w:spacing w:line="276" w:lineRule="auto"/>
        <w:rPr>
          <w:rFonts w:ascii="Times New Roman" w:hAnsi="Times New Roman" w:cs="Times New Roman"/>
        </w:rPr>
      </w:pPr>
      <w:r>
        <w:rPr>
          <w:rFonts w:ascii="Times New Roman" w:eastAsia="宋体" w:hAnsi="Times New Roman" w:cs="Times New Roman"/>
          <w:b/>
          <w:bCs/>
        </w:rPr>
        <w:t xml:space="preserve">Observation </w:t>
      </w:r>
      <w:r>
        <w:rPr>
          <w:rFonts w:ascii="Times New Roman" w:eastAsia="宋体" w:hAnsi="Times New Roman" w:cs="Times New Roman"/>
          <w:b/>
          <w:bCs/>
        </w:rPr>
        <w:fldChar w:fldCharType="begin"/>
      </w:r>
      <w:r>
        <w:rPr>
          <w:rFonts w:ascii="Times New Roman" w:eastAsia="宋体" w:hAnsi="Times New Roman" w:cs="Times New Roman"/>
          <w:b/>
          <w:bCs/>
        </w:rPr>
        <w:instrText xml:space="preserve"> SEQ Observation \* ARABIC </w:instrText>
      </w:r>
      <w:r>
        <w:rPr>
          <w:rFonts w:ascii="Times New Roman" w:eastAsia="宋体" w:hAnsi="Times New Roman" w:cs="Times New Roman"/>
          <w:b/>
          <w:bCs/>
        </w:rPr>
        <w:fldChar w:fldCharType="separate"/>
      </w:r>
      <w:r>
        <w:rPr>
          <w:rFonts w:ascii="Times New Roman" w:eastAsia="宋体" w:hAnsi="Times New Roman" w:cs="Times New Roman"/>
          <w:b/>
          <w:bCs/>
        </w:rPr>
        <w:t>1</w:t>
      </w:r>
      <w:r>
        <w:rPr>
          <w:rFonts w:ascii="Times New Roman" w:eastAsia="宋体" w:hAnsi="Times New Roman" w:cs="Times New Roman"/>
          <w:b/>
          <w:bCs/>
        </w:rPr>
        <w:fldChar w:fldCharType="end"/>
      </w:r>
      <w:r>
        <w:rPr>
          <w:rFonts w:ascii="Times New Roman" w:eastAsia="宋体" w:hAnsi="Times New Roman" w:cs="Times New Roman"/>
          <w:b/>
          <w:bCs/>
        </w:rPr>
        <w:t xml:space="preserve">: </w:t>
      </w:r>
      <w:r>
        <w:rPr>
          <w:rFonts w:ascii="Times New Roman" w:hAnsi="Times New Roman" w:cs="Times New Roman" w:hint="eastAsia"/>
        </w:rPr>
        <w:t>Defining moderately advanced TPR values for IMT-2030 helps to place the IMT industry in a better position to compete for spectrum with other RATs.</w:t>
      </w:r>
    </w:p>
    <w:p w14:paraId="19357D7F" w14:textId="77777777" w:rsidR="000F77EA" w:rsidRDefault="00000000">
      <w:pPr>
        <w:spacing w:line="276" w:lineRule="auto"/>
        <w:rPr>
          <w:rFonts w:ascii="Times New Roman" w:hAnsi="Times New Roman" w:cs="Times New Roman"/>
        </w:rPr>
      </w:pPr>
      <w:r>
        <w:rPr>
          <w:rFonts w:ascii="Times New Roman" w:hAnsi="Times New Roman" w:cs="Times New Roman" w:hint="eastAsia"/>
        </w:rPr>
        <w:t>It can also be noted that 3GPP NR technologies passed the ITU-R IMT-2020 requirements with huge margins for some TPRs, for instance, DL peak data rate can be as high as 171.2 Gbps (in FR2), which is more than 8 times higher than IMT-2020 TPR on DL peak data rate. NR can also achieve 64.6 Gbps (in FR2) UL peak data rate, which is already 6 times higher than IMT-2020 TPR. Thus, even if we propose to set the TPR of peak data rate to be 5 times higher than IMT-2020, it can be seen as a moderately advanced goal as NR can already satisfy this goal.</w:t>
      </w:r>
    </w:p>
    <w:p w14:paraId="341C2570" w14:textId="77777777" w:rsidR="000F77EA" w:rsidRDefault="00000000">
      <w:pPr>
        <w:spacing w:line="276" w:lineRule="auto"/>
        <w:rPr>
          <w:rFonts w:ascii="Times New Roman" w:hAnsi="Times New Roman" w:cs="Times New Roman"/>
        </w:rPr>
      </w:pPr>
      <w:r>
        <w:rPr>
          <w:rFonts w:ascii="Times New Roman" w:eastAsia="宋体" w:hAnsi="Times New Roman" w:cs="Times New Roman"/>
          <w:b/>
          <w:bCs/>
        </w:rPr>
        <w:t xml:space="preserve">Observation </w:t>
      </w:r>
      <w:r>
        <w:rPr>
          <w:rFonts w:ascii="Times New Roman" w:eastAsia="宋体" w:hAnsi="Times New Roman" w:cs="Times New Roman"/>
          <w:b/>
          <w:bCs/>
        </w:rPr>
        <w:fldChar w:fldCharType="begin"/>
      </w:r>
      <w:r>
        <w:rPr>
          <w:rFonts w:ascii="Times New Roman" w:eastAsia="宋体" w:hAnsi="Times New Roman" w:cs="Times New Roman"/>
          <w:b/>
          <w:bCs/>
        </w:rPr>
        <w:instrText xml:space="preserve"> SEQ Observation \* ARABIC </w:instrText>
      </w:r>
      <w:r>
        <w:rPr>
          <w:rFonts w:ascii="Times New Roman" w:eastAsia="宋体" w:hAnsi="Times New Roman" w:cs="Times New Roman"/>
          <w:b/>
          <w:bCs/>
        </w:rPr>
        <w:fldChar w:fldCharType="separate"/>
      </w:r>
      <w:r>
        <w:rPr>
          <w:rFonts w:ascii="Times New Roman" w:eastAsia="宋体" w:hAnsi="Times New Roman" w:cs="Times New Roman"/>
          <w:b/>
          <w:bCs/>
        </w:rPr>
        <w:t>2</w:t>
      </w:r>
      <w:r>
        <w:rPr>
          <w:rFonts w:ascii="Times New Roman" w:eastAsia="宋体" w:hAnsi="Times New Roman" w:cs="Times New Roman"/>
          <w:b/>
          <w:bCs/>
        </w:rPr>
        <w:fldChar w:fldCharType="end"/>
      </w:r>
      <w:r>
        <w:rPr>
          <w:rFonts w:ascii="Times New Roman" w:eastAsia="宋体" w:hAnsi="Times New Roman" w:cs="Times New Roman"/>
          <w:b/>
          <w:bCs/>
        </w:rPr>
        <w:t xml:space="preserve">: </w:t>
      </w:r>
      <w:r>
        <w:rPr>
          <w:rFonts w:ascii="Times New Roman" w:hAnsi="Times New Roman" w:cs="Times New Roman" w:hint="eastAsia"/>
        </w:rPr>
        <w:t xml:space="preserve">According to TR 37.910 </w:t>
      </w:r>
      <w:r>
        <w:rPr>
          <w:rFonts w:ascii="Times New Roman" w:hAnsi="Times New Roman" w:cs="Times New Roman"/>
        </w:rPr>
        <w:t>“Study on self evaluation towards IMT-2020 submission”</w:t>
      </w:r>
      <w:r>
        <w:rPr>
          <w:rFonts w:ascii="Times New Roman" w:hAnsi="Times New Roman" w:cs="Times New Roman" w:hint="eastAsia"/>
        </w:rPr>
        <w:t>, many of the proposed IMT-2020 TPR target values are met by 3GPP NR technologies with a huge margin.</w:t>
      </w:r>
    </w:p>
    <w:p w14:paraId="36D50B49" w14:textId="77777777" w:rsidR="000F77EA" w:rsidRDefault="00000000">
      <w:pPr>
        <w:spacing w:line="276" w:lineRule="auto"/>
        <w:rPr>
          <w:rFonts w:ascii="Times New Roman" w:hAnsi="Times New Roman" w:cs="Times New Roman"/>
        </w:rPr>
      </w:pPr>
      <w:r>
        <w:rPr>
          <w:rFonts w:ascii="Times New Roman" w:hAnsi="Times New Roman" w:cs="Times New Roman" w:hint="eastAsia"/>
        </w:rPr>
        <w:t xml:space="preserve">During the discussions happening in the ITU-R WP 5D, when discussing the TPR values, members also discuss the related configurations. For </w:t>
      </w:r>
      <w:r>
        <w:rPr>
          <w:rFonts w:ascii="Times New Roman" w:hAnsi="Times New Roman" w:cs="Times New Roman"/>
        </w:rPr>
        <w:t>instance</w:t>
      </w:r>
      <w:r>
        <w:rPr>
          <w:rFonts w:ascii="Times New Roman" w:hAnsi="Times New Roman" w:cs="Times New Roman" w:hint="eastAsia"/>
        </w:rPr>
        <w:t>, to achieve 5 times higher peak data rate, it may imply at least 2 times more bandwidth. To achieve 2.5 times higher peak spectral efficiency, 16 MIMO layers may be supported compared to 8 MIMO layers assumed for IMT-2020. W</w:t>
      </w:r>
      <w:r>
        <w:rPr>
          <w:rFonts w:ascii="Times New Roman" w:hAnsi="Times New Roman" w:cs="Times New Roman" w:hint="eastAsia"/>
          <w:lang w:eastAsia="en-US"/>
        </w:rPr>
        <w:t xml:space="preserve">e want to provide some observations on how to correctly interpret the relationship between ITU IMT-2030 TPRs and 3GPP </w:t>
      </w:r>
      <w:r>
        <w:rPr>
          <w:rFonts w:ascii="Times New Roman" w:hAnsi="Times New Roman" w:cs="Times New Roman" w:hint="eastAsia"/>
        </w:rPr>
        <w:t>configurations,</w:t>
      </w:r>
      <w:r>
        <w:rPr>
          <w:rFonts w:ascii="Times New Roman" w:hAnsi="Times New Roman" w:cs="Times New Roman" w:hint="eastAsia"/>
          <w:lang w:eastAsia="en-US"/>
        </w:rPr>
        <w:t xml:space="preserve"> as well as how a candidate technology can be seen as satisfying IMT-2030 evaluations.</w:t>
      </w:r>
      <w:r>
        <w:rPr>
          <w:rFonts w:ascii="Times New Roman" w:hAnsi="Times New Roman" w:cs="Times New Roman" w:hint="eastAsia"/>
        </w:rPr>
        <w:t xml:space="preserve"> From ITU-R M.2412 </w:t>
      </w:r>
      <w:r>
        <w:rPr>
          <w:rFonts w:ascii="Times New Roman" w:hAnsi="Times New Roman" w:cs="Times New Roman"/>
          <w:lang w:eastAsia="en-US"/>
        </w:rPr>
        <w:fldChar w:fldCharType="begin"/>
      </w:r>
      <w:r>
        <w:rPr>
          <w:rFonts w:ascii="Times New Roman" w:hAnsi="Times New Roman" w:cs="Times New Roman"/>
          <w:lang w:eastAsia="en-US"/>
        </w:rPr>
        <w:instrText xml:space="preserve"> </w:instrText>
      </w:r>
      <w:r>
        <w:rPr>
          <w:rFonts w:ascii="Times New Roman" w:hAnsi="Times New Roman" w:cs="Times New Roman" w:hint="eastAsia"/>
          <w:lang w:eastAsia="en-US"/>
        </w:rPr>
        <w:instrText>REF _Ref195880377 \r \h</w:instrText>
      </w:r>
      <w:r>
        <w:rPr>
          <w:rFonts w:ascii="Times New Roman" w:hAnsi="Times New Roman" w:cs="Times New Roman"/>
          <w:lang w:eastAsia="en-US"/>
        </w:rPr>
        <w:instrText xml:space="preserve"> </w:instrText>
      </w:r>
      <w:r>
        <w:rPr>
          <w:rFonts w:ascii="Times New Roman" w:hAnsi="Times New Roman" w:cs="Times New Roman"/>
          <w:lang w:eastAsia="en-US"/>
        </w:rPr>
      </w:r>
      <w:r>
        <w:rPr>
          <w:rFonts w:ascii="Times New Roman" w:hAnsi="Times New Roman" w:cs="Times New Roman"/>
          <w:lang w:eastAsia="en-US"/>
        </w:rPr>
        <w:fldChar w:fldCharType="separate"/>
      </w:r>
      <w:r>
        <w:rPr>
          <w:rFonts w:ascii="Times New Roman" w:hAnsi="Times New Roman" w:cs="Times New Roman"/>
          <w:lang w:eastAsia="en-US"/>
        </w:rPr>
        <w:t>[11]</w:t>
      </w:r>
      <w:r>
        <w:rPr>
          <w:rFonts w:ascii="Times New Roman" w:hAnsi="Times New Roman" w:cs="Times New Roman"/>
          <w:lang w:eastAsia="en-US"/>
        </w:rPr>
        <w:fldChar w:fldCharType="end"/>
      </w:r>
      <w:r>
        <w:rPr>
          <w:rFonts w:ascii="Times New Roman" w:hAnsi="Times New Roman" w:cs="Times New Roman" w:hint="eastAsia"/>
        </w:rPr>
        <w:t xml:space="preserve">, </w:t>
      </w:r>
    </w:p>
    <w:tbl>
      <w:tblPr>
        <w:tblStyle w:val="af5"/>
        <w:tblW w:w="0" w:type="auto"/>
        <w:tblLook w:val="04A0" w:firstRow="1" w:lastRow="0" w:firstColumn="1" w:lastColumn="0" w:noHBand="0" w:noVBand="1"/>
      </w:tblPr>
      <w:tblGrid>
        <w:gridCol w:w="9855"/>
      </w:tblGrid>
      <w:tr w:rsidR="000F77EA" w14:paraId="61129EEE" w14:textId="77777777">
        <w:tc>
          <w:tcPr>
            <w:tcW w:w="9855" w:type="dxa"/>
          </w:tcPr>
          <w:p w14:paraId="261EC1F1" w14:textId="77777777" w:rsidR="000F77EA" w:rsidRDefault="00000000">
            <w:pPr>
              <w:pStyle w:val="2"/>
              <w:rPr>
                <w:lang w:eastAsia="zh-CN"/>
              </w:rPr>
            </w:pPr>
            <w:r>
              <w:rPr>
                <w:lang w:eastAsia="zh-CN"/>
              </w:rPr>
              <w:t>8.4</w:t>
            </w:r>
            <w:r>
              <w:rPr>
                <w:lang w:eastAsia="zh-CN"/>
              </w:rPr>
              <w:tab/>
            </w:r>
            <w:r>
              <w:t>Evaluation configurations</w:t>
            </w:r>
          </w:p>
          <w:p w14:paraId="05030CE7" w14:textId="77777777" w:rsidR="000F77EA" w:rsidRDefault="00000000">
            <w:pPr>
              <w:spacing w:line="276" w:lineRule="auto"/>
              <w:rPr>
                <w:rFonts w:ascii="Times New Roman" w:hAnsi="Times New Roman" w:cs="Times New Roman"/>
              </w:rPr>
            </w:pPr>
            <w:r>
              <w:rPr>
                <w:lang w:val="en-GB"/>
              </w:rPr>
              <w:t>E</w:t>
            </w:r>
            <w:r>
              <w:rPr>
                <w:rFonts w:eastAsia="宋体"/>
                <w:lang w:val="en-GB"/>
              </w:rPr>
              <w:t xml:space="preserve">valuation configurations are defined for the selected test environments. The </w:t>
            </w:r>
            <w:r>
              <w:rPr>
                <w:lang w:val="en-GB"/>
              </w:rPr>
              <w:t xml:space="preserve">configuration parameters shall be applied in analytical and simulation assessments of candidate RITs/SRITs. </w:t>
            </w:r>
            <w:r>
              <w:rPr>
                <w:rFonts w:eastAsia="MS Mincho"/>
                <w:lang w:val="en-GB" w:eastAsia="ja-JP"/>
              </w:rPr>
              <w:t>For the cases when</w:t>
            </w:r>
            <w:r>
              <w:rPr>
                <w:rFonts w:eastAsia="宋体"/>
                <w:lang w:val="en-GB"/>
              </w:rPr>
              <w:t xml:space="preserve"> there are multiple evaluation configurations under </w:t>
            </w:r>
            <w:r>
              <w:rPr>
                <w:lang w:val="en-GB"/>
              </w:rPr>
              <w:t>the selected</w:t>
            </w:r>
            <w:r>
              <w:rPr>
                <w:rFonts w:eastAsia="宋体"/>
                <w:lang w:val="en-GB"/>
              </w:rPr>
              <w:t xml:space="preserve"> test environment, </w:t>
            </w:r>
            <w:r>
              <w:rPr>
                <w:rFonts w:eastAsia="宋体"/>
                <w:highlight w:val="green"/>
                <w:lang w:val="en-GB"/>
              </w:rPr>
              <w:t>one of the evaluation configurations under that test environment can be used</w:t>
            </w:r>
            <w:r>
              <w:rPr>
                <w:rFonts w:eastAsia="宋体"/>
                <w:lang w:val="en-GB"/>
              </w:rPr>
              <w:t xml:space="preserve"> to test the </w:t>
            </w:r>
            <w:r>
              <w:rPr>
                <w:lang w:val="en-GB"/>
              </w:rPr>
              <w:t xml:space="preserve">candidate </w:t>
            </w:r>
            <w:r>
              <w:rPr>
                <w:rFonts w:eastAsia="宋体"/>
                <w:lang w:val="en-GB"/>
              </w:rPr>
              <w:t xml:space="preserve">RITs/SRITs. </w:t>
            </w:r>
            <w:r>
              <w:rPr>
                <w:rFonts w:eastAsia="宋体"/>
                <w:highlight w:val="green"/>
                <w:lang w:val="en-GB"/>
              </w:rPr>
              <w:t>The technical performance requirement corresponding to that test environment is fulfi</w:t>
            </w:r>
            <w:r>
              <w:rPr>
                <w:rFonts w:eastAsia="MS Mincho"/>
                <w:highlight w:val="green"/>
                <w:lang w:val="en-GB" w:eastAsia="ja-JP"/>
              </w:rPr>
              <w:t>l</w:t>
            </w:r>
            <w:r>
              <w:rPr>
                <w:rFonts w:eastAsia="宋体"/>
                <w:highlight w:val="green"/>
                <w:lang w:val="en-GB"/>
              </w:rPr>
              <w:t xml:space="preserve">led if this requirement is met </w:t>
            </w:r>
            <w:r>
              <w:rPr>
                <w:rFonts w:eastAsia="MS Mincho"/>
                <w:highlight w:val="green"/>
                <w:lang w:val="en-GB" w:eastAsia="ja-JP"/>
              </w:rPr>
              <w:t>for</w:t>
            </w:r>
            <w:r>
              <w:rPr>
                <w:rFonts w:eastAsia="Malgun Gothic"/>
                <w:highlight w:val="green"/>
                <w:lang w:val="en-GB" w:eastAsia="ko-KR"/>
              </w:rPr>
              <w:t xml:space="preserve"> one of </w:t>
            </w:r>
            <w:r>
              <w:rPr>
                <w:highlight w:val="green"/>
                <w:lang w:val="en-GB"/>
              </w:rPr>
              <w:t xml:space="preserve">the </w:t>
            </w:r>
            <w:r>
              <w:rPr>
                <w:rFonts w:eastAsia="Malgun Gothic"/>
                <w:highlight w:val="green"/>
                <w:lang w:val="en-GB" w:eastAsia="ko-KR"/>
              </w:rPr>
              <w:t>evaluation configurations</w:t>
            </w:r>
            <w:r>
              <w:rPr>
                <w:rFonts w:eastAsia="宋体"/>
                <w:highlight w:val="green"/>
                <w:lang w:val="en-GB"/>
              </w:rPr>
              <w:t xml:space="preserve"> </w:t>
            </w:r>
            <w:r>
              <w:rPr>
                <w:rFonts w:eastAsia="MS Mincho"/>
                <w:highlight w:val="green"/>
                <w:lang w:val="en-GB" w:eastAsia="ja-JP"/>
              </w:rPr>
              <w:t>under</w:t>
            </w:r>
            <w:r>
              <w:rPr>
                <w:rFonts w:eastAsia="宋体"/>
                <w:highlight w:val="green"/>
                <w:lang w:val="en-GB"/>
              </w:rPr>
              <w:t xml:space="preserve"> that specific test environment.</w:t>
            </w:r>
          </w:p>
        </w:tc>
      </w:tr>
    </w:tbl>
    <w:p w14:paraId="22680653" w14:textId="77777777" w:rsidR="000F77EA" w:rsidRDefault="00000000">
      <w:pPr>
        <w:spacing w:line="276" w:lineRule="auto"/>
        <w:rPr>
          <w:rFonts w:ascii="Times New Roman" w:hAnsi="Times New Roman" w:cs="Times New Roman"/>
        </w:rPr>
      </w:pPr>
      <w:r>
        <w:rPr>
          <w:rFonts w:ascii="Times New Roman" w:hAnsi="Times New Roman" w:cs="Times New Roman" w:hint="eastAsia"/>
        </w:rPr>
        <w:t>It is clear that from ITU perspective, a technology proposal meets the requirement if any of a supported configuration meets the requirement.</w:t>
      </w:r>
    </w:p>
    <w:p w14:paraId="0BC76D48" w14:textId="77777777" w:rsidR="000F77EA" w:rsidRDefault="00000000">
      <w:pPr>
        <w:spacing w:line="276" w:lineRule="auto"/>
        <w:rPr>
          <w:rFonts w:ascii="Times New Roman" w:hAnsi="Times New Roman" w:cs="Times New Roman"/>
          <w:b/>
        </w:rPr>
      </w:pPr>
      <w:bookmarkStart w:id="4" w:name="_Ref21077807"/>
      <w:bookmarkStart w:id="5" w:name="_Ref32606436"/>
      <w:r>
        <w:rPr>
          <w:rFonts w:ascii="Times New Roman" w:eastAsia="宋体" w:hAnsi="Times New Roman" w:cs="Times New Roman"/>
          <w:b/>
          <w:bCs/>
        </w:rPr>
        <w:t xml:space="preserve">Observation </w:t>
      </w:r>
      <w:r>
        <w:rPr>
          <w:rFonts w:ascii="Times New Roman" w:eastAsia="宋体" w:hAnsi="Times New Roman" w:cs="Times New Roman"/>
          <w:b/>
          <w:bCs/>
        </w:rPr>
        <w:fldChar w:fldCharType="begin"/>
      </w:r>
      <w:r>
        <w:rPr>
          <w:rFonts w:ascii="Times New Roman" w:eastAsia="宋体" w:hAnsi="Times New Roman" w:cs="Times New Roman"/>
          <w:b/>
          <w:bCs/>
        </w:rPr>
        <w:instrText xml:space="preserve"> SEQ Observation \* ARABIC </w:instrText>
      </w:r>
      <w:r>
        <w:rPr>
          <w:rFonts w:ascii="Times New Roman" w:eastAsia="宋体" w:hAnsi="Times New Roman" w:cs="Times New Roman"/>
          <w:b/>
          <w:bCs/>
        </w:rPr>
        <w:fldChar w:fldCharType="separate"/>
      </w:r>
      <w:r>
        <w:rPr>
          <w:rFonts w:ascii="Times New Roman" w:eastAsia="宋体" w:hAnsi="Times New Roman" w:cs="Times New Roman"/>
          <w:b/>
          <w:bCs/>
        </w:rPr>
        <w:t>3</w:t>
      </w:r>
      <w:r>
        <w:rPr>
          <w:rFonts w:ascii="Times New Roman" w:eastAsia="宋体" w:hAnsi="Times New Roman" w:cs="Times New Roman"/>
          <w:b/>
          <w:bCs/>
        </w:rPr>
        <w:fldChar w:fldCharType="end"/>
      </w:r>
      <w:r>
        <w:rPr>
          <w:rFonts w:ascii="Times New Roman" w:eastAsia="宋体" w:hAnsi="Times New Roman" w:cs="Times New Roman"/>
          <w:b/>
          <w:bCs/>
        </w:rPr>
        <w:t xml:space="preserve">: </w:t>
      </w:r>
      <w:bookmarkEnd w:id="4"/>
      <w:bookmarkEnd w:id="5"/>
      <w:r>
        <w:rPr>
          <w:rFonts w:ascii="Times New Roman" w:hAnsi="Times New Roman" w:cs="Times New Roman" w:hint="eastAsia"/>
          <w:bCs/>
        </w:rPr>
        <w:t xml:space="preserve">From </w:t>
      </w:r>
      <w:r>
        <w:rPr>
          <w:rFonts w:ascii="Times New Roman" w:hAnsi="Times New Roman" w:cs="Times New Roman" w:hint="eastAsia"/>
        </w:rPr>
        <w:t>ITU evaluation perspective, a technology proposal meets the requirement if any of a supported configuration meets the requirement.</w:t>
      </w:r>
    </w:p>
    <w:p w14:paraId="7CB80F6F" w14:textId="77777777" w:rsidR="000F77EA" w:rsidRDefault="00000000">
      <w:pPr>
        <w:spacing w:line="276" w:lineRule="auto"/>
        <w:rPr>
          <w:rFonts w:ascii="Times New Roman" w:hAnsi="Times New Roman" w:cs="Times New Roman"/>
        </w:rPr>
      </w:pPr>
      <w:r>
        <w:rPr>
          <w:rFonts w:ascii="Times New Roman" w:hAnsi="Times New Roman" w:cs="Times New Roman" w:hint="eastAsia"/>
        </w:rPr>
        <w:t xml:space="preserve">As reflected by some previous discussions, the phrase </w:t>
      </w:r>
      <w:r>
        <w:rPr>
          <w:rFonts w:ascii="Times New Roman" w:hAnsi="Times New Roman" w:cs="Times New Roman"/>
        </w:rPr>
        <w:t>‘</w:t>
      </w:r>
      <w:r>
        <w:rPr>
          <w:rFonts w:ascii="Times New Roman" w:hAnsi="Times New Roman" w:cs="Times New Roman" w:hint="eastAsia"/>
        </w:rPr>
        <w:t>minimum</w:t>
      </w:r>
      <w:r>
        <w:rPr>
          <w:rFonts w:ascii="Times New Roman" w:hAnsi="Times New Roman" w:cs="Times New Roman"/>
        </w:rPr>
        <w:t>’</w:t>
      </w:r>
      <w:r>
        <w:rPr>
          <w:rFonts w:ascii="Times New Roman" w:hAnsi="Times New Roman" w:cs="Times New Roman" w:hint="eastAsia"/>
        </w:rPr>
        <w:t xml:space="preserve"> TPR by ITU can cause misunderstanding. Some may worry that a </w:t>
      </w:r>
      <w:r>
        <w:rPr>
          <w:rFonts w:ascii="Times New Roman" w:hAnsi="Times New Roman" w:cs="Times New Roman"/>
        </w:rPr>
        <w:t>‘</w:t>
      </w:r>
      <w:r>
        <w:rPr>
          <w:rFonts w:ascii="Times New Roman" w:hAnsi="Times New Roman" w:cs="Times New Roman" w:hint="eastAsia"/>
        </w:rPr>
        <w:t>minimum</w:t>
      </w:r>
      <w:r>
        <w:rPr>
          <w:rFonts w:ascii="Times New Roman" w:hAnsi="Times New Roman" w:cs="Times New Roman"/>
        </w:rPr>
        <w:t>’</w:t>
      </w:r>
      <w:r>
        <w:rPr>
          <w:rFonts w:ascii="Times New Roman" w:hAnsi="Times New Roman" w:cs="Times New Roman" w:hint="eastAsia"/>
        </w:rPr>
        <w:t xml:space="preserve"> TPR means that all configurations of a technology must all meet such requirements, while this is certainly not the case. </w:t>
      </w:r>
    </w:p>
    <w:p w14:paraId="3C3522F0" w14:textId="77777777" w:rsidR="000F77EA" w:rsidRDefault="00000000">
      <w:pPr>
        <w:spacing w:line="276" w:lineRule="auto"/>
        <w:rPr>
          <w:rFonts w:ascii="Times New Roman" w:hAnsi="Times New Roman" w:cs="Times New Roman"/>
          <w:b/>
        </w:rPr>
      </w:pPr>
      <w:r>
        <w:rPr>
          <w:rFonts w:ascii="Times New Roman" w:eastAsia="宋体" w:hAnsi="Times New Roman" w:cs="Times New Roman"/>
          <w:b/>
          <w:bCs/>
        </w:rPr>
        <w:t xml:space="preserve">Observation </w:t>
      </w:r>
      <w:r>
        <w:rPr>
          <w:rFonts w:ascii="Times New Roman" w:eastAsia="宋体" w:hAnsi="Times New Roman" w:cs="Times New Roman"/>
          <w:b/>
          <w:bCs/>
        </w:rPr>
        <w:fldChar w:fldCharType="begin"/>
      </w:r>
      <w:r>
        <w:rPr>
          <w:rFonts w:ascii="Times New Roman" w:eastAsia="宋体" w:hAnsi="Times New Roman" w:cs="Times New Roman"/>
          <w:b/>
          <w:bCs/>
        </w:rPr>
        <w:instrText xml:space="preserve"> SEQ Observation \* ARABIC </w:instrText>
      </w:r>
      <w:r>
        <w:rPr>
          <w:rFonts w:ascii="Times New Roman" w:eastAsia="宋体" w:hAnsi="Times New Roman" w:cs="Times New Roman"/>
          <w:b/>
          <w:bCs/>
        </w:rPr>
        <w:fldChar w:fldCharType="separate"/>
      </w:r>
      <w:r>
        <w:rPr>
          <w:rFonts w:ascii="Times New Roman" w:eastAsia="宋体" w:hAnsi="Times New Roman" w:cs="Times New Roman"/>
          <w:b/>
          <w:bCs/>
        </w:rPr>
        <w:t>4</w:t>
      </w:r>
      <w:r>
        <w:rPr>
          <w:rFonts w:ascii="Times New Roman" w:eastAsia="宋体" w:hAnsi="Times New Roman" w:cs="Times New Roman"/>
          <w:b/>
          <w:bCs/>
        </w:rPr>
        <w:fldChar w:fldCharType="end"/>
      </w:r>
      <w:r>
        <w:rPr>
          <w:rFonts w:ascii="Times New Roman" w:eastAsia="宋体" w:hAnsi="Times New Roman" w:cs="Times New Roman"/>
          <w:b/>
          <w:bCs/>
        </w:rPr>
        <w:t xml:space="preserve">: </w:t>
      </w:r>
      <w:r>
        <w:rPr>
          <w:rFonts w:ascii="Times New Roman" w:hAnsi="Times New Roman" w:cs="Times New Roman" w:hint="eastAsia"/>
          <w:bCs/>
        </w:rPr>
        <w:t xml:space="preserve">The </w:t>
      </w:r>
      <w:r>
        <w:rPr>
          <w:rFonts w:ascii="Times New Roman" w:hAnsi="Times New Roman" w:cs="Times New Roman" w:hint="eastAsia"/>
        </w:rPr>
        <w:t xml:space="preserve">ITU </w:t>
      </w:r>
      <w:r>
        <w:rPr>
          <w:rFonts w:ascii="Times New Roman" w:hAnsi="Times New Roman" w:cs="Times New Roman"/>
        </w:rPr>
        <w:t>‘</w:t>
      </w:r>
      <w:r>
        <w:rPr>
          <w:rFonts w:ascii="Times New Roman" w:hAnsi="Times New Roman" w:cs="Times New Roman" w:hint="eastAsia"/>
        </w:rPr>
        <w:t>minimum</w:t>
      </w:r>
      <w:r>
        <w:rPr>
          <w:rFonts w:ascii="Times New Roman" w:hAnsi="Times New Roman" w:cs="Times New Roman"/>
        </w:rPr>
        <w:t>’</w:t>
      </w:r>
      <w:r>
        <w:rPr>
          <w:rFonts w:ascii="Times New Roman" w:hAnsi="Times New Roman" w:cs="Times New Roman" w:hint="eastAsia"/>
        </w:rPr>
        <w:t xml:space="preserve"> TPR can be met by using any of the configuration supported by a technology, or, equivalently, the configuration resulting the best performance.</w:t>
      </w:r>
    </w:p>
    <w:p w14:paraId="5D8A36B7" w14:textId="77777777" w:rsidR="000F77EA" w:rsidRDefault="00000000">
      <w:pPr>
        <w:spacing w:line="276" w:lineRule="auto"/>
        <w:rPr>
          <w:rFonts w:ascii="Times New Roman" w:hAnsi="Times New Roman" w:cs="Times New Roman"/>
          <w:lang w:eastAsia="en-US"/>
        </w:rPr>
      </w:pPr>
      <w:r>
        <w:rPr>
          <w:rFonts w:ascii="Times New Roman" w:hAnsi="Times New Roman" w:cs="Times New Roman" w:hint="eastAsia"/>
        </w:rPr>
        <w:t>Continuing this discussion, a</w:t>
      </w:r>
      <w:r>
        <w:rPr>
          <w:rFonts w:ascii="Times New Roman" w:hAnsi="Times New Roman" w:cs="Times New Roman"/>
          <w:lang w:eastAsia="en-US"/>
        </w:rPr>
        <w:t>s long as one part of the technology can meet the requirements, the whole technology is judged to pass the evaluation. This means, as long as the best performance of 3GPP 6G meets the IMT-2030 TPRs, the whole 3GPP 6G</w:t>
      </w:r>
      <w:r>
        <w:rPr>
          <w:rFonts w:ascii="Times New Roman" w:hAnsi="Times New Roman" w:cs="Times New Roman" w:hint="eastAsia"/>
        </w:rPr>
        <w:t xml:space="preserve"> specifications</w:t>
      </w:r>
      <w:r>
        <w:rPr>
          <w:rFonts w:ascii="Times New Roman" w:hAnsi="Times New Roman" w:cs="Times New Roman"/>
          <w:lang w:eastAsia="en-US"/>
        </w:rPr>
        <w:t xml:space="preserve"> will be recognized as a valid IMT-2030 technology. Devices and network equipments that operate with</w:t>
      </w:r>
      <w:r>
        <w:rPr>
          <w:rFonts w:ascii="Times New Roman" w:hAnsi="Times New Roman" w:cs="Times New Roman" w:hint="eastAsia"/>
        </w:rPr>
        <w:t xml:space="preserve"> any possible </w:t>
      </w:r>
      <w:r>
        <w:rPr>
          <w:rFonts w:ascii="Times New Roman" w:hAnsi="Times New Roman" w:cs="Times New Roman"/>
          <w:lang w:eastAsia="en-US"/>
        </w:rPr>
        <w:t>configurations will be recognized as part of the 6G system. Take the number of antenna</w:t>
      </w:r>
      <w:r>
        <w:rPr>
          <w:rFonts w:ascii="Times New Roman" w:hAnsi="Times New Roman" w:cs="Times New Roman" w:hint="eastAsia"/>
        </w:rPr>
        <w:t>s</w:t>
      </w:r>
      <w:r>
        <w:rPr>
          <w:rFonts w:ascii="Times New Roman" w:hAnsi="Times New Roman" w:cs="Times New Roman"/>
          <w:lang w:eastAsia="en-US"/>
        </w:rPr>
        <w:t xml:space="preserve"> as an example, if the peak data rate is 5 times higher than IMT-2020, which </w:t>
      </w:r>
      <w:r>
        <w:rPr>
          <w:rFonts w:ascii="Times New Roman" w:hAnsi="Times New Roman" w:cs="Times New Roman" w:hint="eastAsia"/>
        </w:rPr>
        <w:t>may imply</w:t>
      </w:r>
      <w:r>
        <w:rPr>
          <w:rFonts w:ascii="Times New Roman" w:hAnsi="Times New Roman" w:cs="Times New Roman"/>
          <w:lang w:eastAsia="en-US"/>
        </w:rPr>
        <w:t xml:space="preserve"> 16 UE Rx antennas </w:t>
      </w:r>
      <w:r>
        <w:rPr>
          <w:rFonts w:ascii="Times New Roman" w:hAnsi="Times New Roman" w:cs="Times New Roman" w:hint="eastAsia"/>
        </w:rPr>
        <w:t>at 7 GHz</w:t>
      </w:r>
      <w:r>
        <w:rPr>
          <w:rFonts w:ascii="Times New Roman" w:hAnsi="Times New Roman" w:cs="Times New Roman"/>
          <w:lang w:eastAsia="en-US"/>
        </w:rPr>
        <w:t xml:space="preserve">, </w:t>
      </w:r>
      <w:r>
        <w:rPr>
          <w:rFonts w:ascii="Times New Roman" w:hAnsi="Times New Roman" w:cs="Times New Roman" w:hint="eastAsia"/>
        </w:rPr>
        <w:t>it means that</w:t>
      </w:r>
      <w:r>
        <w:rPr>
          <w:rFonts w:ascii="Times New Roman" w:hAnsi="Times New Roman" w:cs="Times New Roman"/>
          <w:lang w:eastAsia="en-US"/>
        </w:rPr>
        <w:t xml:space="preserve"> up to 16 Rx antennas </w:t>
      </w:r>
      <w:r>
        <w:rPr>
          <w:rFonts w:ascii="Times New Roman" w:hAnsi="Times New Roman" w:cs="Times New Roman" w:hint="eastAsia"/>
        </w:rPr>
        <w:t xml:space="preserve">are supported by evaluations </w:t>
      </w:r>
      <w:r>
        <w:rPr>
          <w:rFonts w:ascii="Times New Roman" w:hAnsi="Times New Roman" w:cs="Times New Roman"/>
          <w:lang w:eastAsia="en-US"/>
        </w:rPr>
        <w:t>(1, 2, 4, 8, 16</w:t>
      </w:r>
      <w:r>
        <w:rPr>
          <w:rFonts w:ascii="Times New Roman" w:hAnsi="Times New Roman" w:cs="Times New Roman" w:hint="eastAsia"/>
        </w:rPr>
        <w:t xml:space="preserve"> are all possible configurations</w:t>
      </w:r>
      <w:r>
        <w:rPr>
          <w:rFonts w:ascii="Times New Roman" w:hAnsi="Times New Roman" w:cs="Times New Roman"/>
          <w:lang w:eastAsia="en-US"/>
        </w:rPr>
        <w:t>). 3GPP can meet the ITU requirements on peak data rate using 16 Rx configuration</w:t>
      </w:r>
      <w:r>
        <w:rPr>
          <w:rFonts w:ascii="Times New Roman" w:hAnsi="Times New Roman" w:cs="Times New Roman" w:hint="eastAsia"/>
        </w:rPr>
        <w:t xml:space="preserve"> at 7 GHz, </w:t>
      </w:r>
      <w:r>
        <w:rPr>
          <w:rFonts w:ascii="Times New Roman" w:hAnsi="Times New Roman" w:cs="Times New Roman"/>
          <w:lang w:eastAsia="en-US"/>
        </w:rPr>
        <w:t xml:space="preserve">and it is totally fine if </w:t>
      </w:r>
      <w:r>
        <w:rPr>
          <w:rFonts w:ascii="Times New Roman" w:hAnsi="Times New Roman" w:cs="Times New Roman" w:hint="eastAsia"/>
        </w:rPr>
        <w:t xml:space="preserve">the peak data rate cannot be achieved with </w:t>
      </w:r>
      <w:r>
        <w:rPr>
          <w:rFonts w:ascii="Times New Roman" w:hAnsi="Times New Roman" w:cs="Times New Roman"/>
          <w:lang w:eastAsia="en-US"/>
        </w:rPr>
        <w:t>1/2/4/8 Rx</w:t>
      </w:r>
      <w:r>
        <w:rPr>
          <w:rFonts w:ascii="Times New Roman" w:hAnsi="Times New Roman" w:cs="Times New Roman" w:hint="eastAsia"/>
        </w:rPr>
        <w:t xml:space="preserve"> as this is how ITU evaluations work and is true for almost all technology proposals</w:t>
      </w:r>
      <w:r>
        <w:rPr>
          <w:rFonts w:ascii="Times New Roman" w:hAnsi="Times New Roman" w:cs="Times New Roman"/>
          <w:lang w:eastAsia="en-US"/>
        </w:rPr>
        <w:t>.</w:t>
      </w:r>
    </w:p>
    <w:p w14:paraId="1A61E90B" w14:textId="77777777" w:rsidR="000F77EA" w:rsidRDefault="000F77EA">
      <w:pPr>
        <w:spacing w:line="276" w:lineRule="auto"/>
        <w:rPr>
          <w:rFonts w:ascii="Times New Roman" w:hAnsi="Times New Roman" w:cs="Times New Roman"/>
          <w:lang w:eastAsia="en-US"/>
        </w:rPr>
      </w:pPr>
    </w:p>
    <w:p w14:paraId="39360750" w14:textId="77777777" w:rsidR="000F77EA" w:rsidRDefault="00000000">
      <w:pPr>
        <w:spacing w:line="276" w:lineRule="auto"/>
        <w:rPr>
          <w:rFonts w:ascii="Times New Roman" w:hAnsi="Times New Roman" w:cs="Times New Roman"/>
        </w:rPr>
      </w:pPr>
      <w:r>
        <w:rPr>
          <w:rFonts w:ascii="Times New Roman" w:hAnsi="Times New Roman" w:cs="Times New Roman"/>
          <w:lang w:eastAsia="en-US"/>
        </w:rPr>
        <w:t>In short, from ITU evaluation perspective, as long as a part (the best part) of the specifications meet the TPR</w:t>
      </w:r>
      <w:r>
        <w:rPr>
          <w:rFonts w:ascii="Times New Roman" w:hAnsi="Times New Roman" w:cs="Times New Roman" w:hint="eastAsia"/>
        </w:rPr>
        <w:t>s</w:t>
      </w:r>
      <w:r>
        <w:rPr>
          <w:rFonts w:ascii="Times New Roman" w:hAnsi="Times New Roman" w:cs="Times New Roman"/>
          <w:lang w:eastAsia="en-US"/>
        </w:rPr>
        <w:t xml:space="preserve">, the whole technology proposal meets the IMT-2030 requirements. From commercialization perspective, operators and </w:t>
      </w:r>
      <w:r>
        <w:rPr>
          <w:rFonts w:ascii="Times New Roman" w:hAnsi="Times New Roman" w:cs="Times New Roman"/>
          <w:lang w:eastAsia="en-US"/>
        </w:rPr>
        <w:lastRenderedPageBreak/>
        <w:t xml:space="preserve">vendors are free to choose a subset of the specifications / configurations from </w:t>
      </w:r>
      <w:r>
        <w:rPr>
          <w:rFonts w:ascii="Times New Roman" w:hAnsi="Times New Roman" w:cs="Times New Roman" w:hint="eastAsia"/>
        </w:rPr>
        <w:t xml:space="preserve">3GPP </w:t>
      </w:r>
      <w:r>
        <w:rPr>
          <w:rFonts w:ascii="Times New Roman" w:hAnsi="Times New Roman" w:cs="Times New Roman"/>
          <w:lang w:eastAsia="en-US"/>
        </w:rPr>
        <w:t>6G, a</w:t>
      </w:r>
      <w:r>
        <w:rPr>
          <w:rFonts w:ascii="Times New Roman" w:hAnsi="Times New Roman" w:cs="Times New Roman" w:hint="eastAsia"/>
        </w:rPr>
        <w:t>s</w:t>
      </w:r>
      <w:r>
        <w:rPr>
          <w:rFonts w:ascii="Times New Roman" w:hAnsi="Times New Roman" w:cs="Times New Roman"/>
          <w:lang w:eastAsia="en-US"/>
        </w:rPr>
        <w:t xml:space="preserve"> all these subsets</w:t>
      </w:r>
      <w:r>
        <w:rPr>
          <w:rFonts w:ascii="Times New Roman" w:hAnsi="Times New Roman" w:cs="Times New Roman" w:hint="eastAsia"/>
        </w:rPr>
        <w:t xml:space="preserve"> / configurations</w:t>
      </w:r>
      <w:r>
        <w:rPr>
          <w:rFonts w:ascii="Times New Roman" w:hAnsi="Times New Roman" w:cs="Times New Roman"/>
          <w:lang w:eastAsia="en-US"/>
        </w:rPr>
        <w:t xml:space="preserve"> are</w:t>
      </w:r>
      <w:r>
        <w:rPr>
          <w:rFonts w:ascii="Times New Roman" w:hAnsi="Times New Roman" w:cs="Times New Roman" w:hint="eastAsia"/>
        </w:rPr>
        <w:t xml:space="preserve"> recognized as</w:t>
      </w:r>
      <w:r>
        <w:rPr>
          <w:rFonts w:ascii="Times New Roman" w:hAnsi="Times New Roman" w:cs="Times New Roman"/>
          <w:lang w:eastAsia="en-US"/>
        </w:rPr>
        <w:t xml:space="preserve"> </w:t>
      </w:r>
      <w:r>
        <w:rPr>
          <w:rFonts w:ascii="Times New Roman" w:hAnsi="Times New Roman" w:cs="Times New Roman" w:hint="eastAsia"/>
        </w:rPr>
        <w:t>qualified 6G technologies</w:t>
      </w:r>
      <w:r>
        <w:rPr>
          <w:rFonts w:ascii="Times New Roman" w:hAnsi="Times New Roman" w:cs="Times New Roman"/>
          <w:lang w:eastAsia="en-US"/>
        </w:rPr>
        <w:t>.</w:t>
      </w:r>
      <w:r>
        <w:rPr>
          <w:rFonts w:ascii="Times New Roman" w:hAnsi="Times New Roman" w:cs="Times New Roman" w:hint="eastAsia"/>
        </w:rPr>
        <w:t xml:space="preserve"> From</w:t>
      </w:r>
      <w:r>
        <w:rPr>
          <w:rFonts w:ascii="Times New Roman" w:hAnsi="Times New Roman" w:cs="Times New Roman"/>
          <w:lang w:eastAsia="en-US"/>
        </w:rPr>
        <w:t xml:space="preserve"> </w:t>
      </w:r>
      <w:r>
        <w:rPr>
          <w:rFonts w:ascii="Times New Roman" w:hAnsi="Times New Roman" w:cs="Times New Roman" w:hint="eastAsia"/>
          <w:lang w:eastAsia="en-US"/>
        </w:rPr>
        <w:t>3GPP</w:t>
      </w:r>
      <w:r>
        <w:rPr>
          <w:rFonts w:ascii="Times New Roman" w:hAnsi="Times New Roman" w:cs="Times New Roman"/>
          <w:lang w:eastAsia="en-US"/>
        </w:rPr>
        <w:t xml:space="preserve"> perspective, </w:t>
      </w:r>
      <w:r>
        <w:rPr>
          <w:rFonts w:ascii="Times New Roman" w:hAnsi="Times New Roman" w:cs="Times New Roman" w:hint="eastAsia"/>
        </w:rPr>
        <w:t xml:space="preserve">supporting up to 16 antennas at device side for evaluations </w:t>
      </w:r>
      <w:r>
        <w:rPr>
          <w:rFonts w:ascii="Times New Roman" w:hAnsi="Times New Roman" w:cs="Times New Roman"/>
          <w:lang w:eastAsia="en-US"/>
        </w:rPr>
        <w:t>is an effective way to allow for a higher maximum</w:t>
      </w:r>
      <w:r>
        <w:rPr>
          <w:rFonts w:ascii="Times New Roman" w:hAnsi="Times New Roman" w:cs="Times New Roman" w:hint="eastAsia"/>
        </w:rPr>
        <w:t xml:space="preserve"> data rate</w:t>
      </w:r>
      <w:r>
        <w:rPr>
          <w:rFonts w:ascii="Times New Roman" w:hAnsi="Times New Roman" w:cs="Times New Roman"/>
          <w:lang w:eastAsia="en-US"/>
        </w:rPr>
        <w:t xml:space="preserve"> to be more future proof, </w:t>
      </w:r>
      <w:r>
        <w:rPr>
          <w:rFonts w:ascii="Times New Roman" w:hAnsi="Times New Roman" w:cs="Times New Roman" w:hint="eastAsia"/>
        </w:rPr>
        <w:t>a</w:t>
      </w:r>
      <w:r>
        <w:rPr>
          <w:rFonts w:ascii="Times New Roman" w:hAnsi="Times New Roman" w:cs="Times New Roman"/>
          <w:lang w:eastAsia="en-US"/>
        </w:rPr>
        <w:t>s well as making 3</w:t>
      </w:r>
      <w:r>
        <w:rPr>
          <w:rFonts w:ascii="Times New Roman" w:hAnsi="Times New Roman" w:cs="Times New Roman" w:hint="eastAsia"/>
        </w:rPr>
        <w:t>GPP terrestrial components</w:t>
      </w:r>
      <w:r>
        <w:rPr>
          <w:rFonts w:ascii="Times New Roman" w:hAnsi="Times New Roman" w:cs="Times New Roman"/>
          <w:lang w:eastAsia="en-US"/>
        </w:rPr>
        <w:t xml:space="preserve"> more competitive among all the candidate technologies.</w:t>
      </w:r>
      <w:r>
        <w:rPr>
          <w:rFonts w:ascii="Times New Roman" w:hAnsi="Times New Roman" w:cs="Times New Roman" w:hint="eastAsia"/>
        </w:rPr>
        <w:t xml:space="preserve"> From both ITU and 3GPP perspectives, the evaluation assumptions do not force vendors or operators to choose any particular implementation, as is clearly stated in the ITU evaluation guidelines,</w:t>
      </w:r>
    </w:p>
    <w:tbl>
      <w:tblPr>
        <w:tblStyle w:val="af5"/>
        <w:tblW w:w="0" w:type="auto"/>
        <w:tblLook w:val="04A0" w:firstRow="1" w:lastRow="0" w:firstColumn="1" w:lastColumn="0" w:noHBand="0" w:noVBand="1"/>
      </w:tblPr>
      <w:tblGrid>
        <w:gridCol w:w="9855"/>
      </w:tblGrid>
      <w:tr w:rsidR="000F77EA" w14:paraId="008F0407" w14:textId="77777777">
        <w:tc>
          <w:tcPr>
            <w:tcW w:w="9855" w:type="dxa"/>
          </w:tcPr>
          <w:p w14:paraId="68C36A5E" w14:textId="77777777" w:rsidR="000F77EA" w:rsidRDefault="00000000">
            <w:pPr>
              <w:pStyle w:val="2"/>
              <w:rPr>
                <w:lang w:eastAsia="zh-CN"/>
              </w:rPr>
            </w:pPr>
            <w:r>
              <w:rPr>
                <w:lang w:eastAsia="zh-CN"/>
              </w:rPr>
              <w:t>8.4</w:t>
            </w:r>
            <w:r>
              <w:rPr>
                <w:lang w:eastAsia="zh-CN"/>
              </w:rPr>
              <w:tab/>
            </w:r>
            <w:r>
              <w:t>Evaluation configurations</w:t>
            </w:r>
          </w:p>
          <w:p w14:paraId="2BD47DFA" w14:textId="77777777" w:rsidR="000F77EA" w:rsidRDefault="00000000">
            <w:pPr>
              <w:spacing w:line="276" w:lineRule="auto"/>
              <w:rPr>
                <w:lang w:val="en-GB"/>
              </w:rPr>
            </w:pPr>
            <w:r>
              <w:rPr>
                <w:lang w:val="en-GB"/>
              </w:rPr>
              <w:t>……</w:t>
            </w:r>
            <w:r>
              <w:rPr>
                <w:rFonts w:hint="eastAsia"/>
                <w:lang w:val="en-GB"/>
              </w:rPr>
              <w:t xml:space="preserve"> (omitted parts)</w:t>
            </w:r>
          </w:p>
          <w:p w14:paraId="11F1B3E5" w14:textId="77777777" w:rsidR="000F77EA" w:rsidRDefault="00000000">
            <w:pPr>
              <w:spacing w:line="276" w:lineRule="auto"/>
              <w:rPr>
                <w:rFonts w:ascii="Times New Roman" w:hAnsi="Times New Roman" w:cs="Times New Roman"/>
              </w:rPr>
            </w:pPr>
            <w:r>
              <w:rPr>
                <w:lang w:val="en-GB"/>
              </w:rPr>
              <w:t xml:space="preserve">The configuration parameters (and also the propagation and channel models in Annex 1 of this Report) are solely for the purpose of consistent evaluation of the candidate RITs/SRITs and relate only to specific test environments designed for these evaluations. Therefore, </w:t>
            </w:r>
            <w:r>
              <w:rPr>
                <w:highlight w:val="green"/>
                <w:lang w:val="en-GB"/>
              </w:rPr>
              <w:t>the configuration parameters should not be considered as those that must be used in any deployment of any IMT-2020 system nor should they be taken as the default values for any other or subsequent study in ITU or elsewhere. They do not necessarily themselves constitute any requirements on the implementation of the system.</w:t>
            </w:r>
          </w:p>
        </w:tc>
      </w:tr>
    </w:tbl>
    <w:p w14:paraId="099A3DFD" w14:textId="77777777" w:rsidR="000F77EA" w:rsidRDefault="00000000">
      <w:pPr>
        <w:spacing w:line="276" w:lineRule="auto"/>
        <w:rPr>
          <w:rFonts w:ascii="Times New Roman" w:hAnsi="Times New Roman" w:cs="Times New Roman"/>
        </w:rPr>
      </w:pPr>
      <w:r>
        <w:rPr>
          <w:rFonts w:ascii="Times New Roman" w:hAnsi="Times New Roman" w:cs="Times New Roman" w:hint="eastAsia"/>
        </w:rPr>
        <w:t>Thus, supporting more antennas at the device side for the purpose of evaluation has the benefits of being more future proof and demonstrating the advantages of 3GPP terrestrial components, while not forcing implementation choices.</w:t>
      </w:r>
    </w:p>
    <w:p w14:paraId="7D48C449" w14:textId="77777777" w:rsidR="000F77EA" w:rsidRDefault="00000000">
      <w:pPr>
        <w:spacing w:line="276" w:lineRule="auto"/>
        <w:rPr>
          <w:rFonts w:ascii="Times New Roman" w:hAnsi="Times New Roman" w:cs="Times New Roman"/>
          <w:b/>
        </w:rPr>
      </w:pPr>
      <w:bookmarkStart w:id="6" w:name="_Ref24003456"/>
      <w:bookmarkStart w:id="7" w:name="_Ref21077829"/>
      <w:r>
        <w:rPr>
          <w:rFonts w:ascii="Times New Roman" w:hAnsi="Times New Roman" w:cs="Times New Roman"/>
          <w:b/>
        </w:rPr>
        <w:t xml:space="preserve">Proposal </w:t>
      </w:r>
      <w:r>
        <w:rPr>
          <w:rFonts w:ascii="Times New Roman" w:hAnsi="Times New Roman" w:cs="Times New Roman"/>
          <w:b/>
        </w:rPr>
        <w:fldChar w:fldCharType="begin"/>
      </w:r>
      <w:r>
        <w:rPr>
          <w:rFonts w:ascii="Times New Roman" w:hAnsi="Times New Roman" w:cs="Times New Roman"/>
          <w:b/>
        </w:rPr>
        <w:instrText xml:space="preserve"> SEQ Proposal \* ARABIC </w:instrText>
      </w:r>
      <w:r>
        <w:rPr>
          <w:rFonts w:ascii="Times New Roman" w:hAnsi="Times New Roman" w:cs="Times New Roman"/>
          <w:b/>
        </w:rPr>
        <w:fldChar w:fldCharType="separate"/>
      </w:r>
      <w:r>
        <w:rPr>
          <w:rFonts w:ascii="Times New Roman" w:hAnsi="Times New Roman" w:cs="Times New Roman"/>
          <w:b/>
        </w:rPr>
        <w:t>3</w:t>
      </w:r>
      <w:r>
        <w:rPr>
          <w:rFonts w:ascii="Times New Roman" w:hAnsi="Times New Roman" w:cs="Times New Roman"/>
          <w:b/>
        </w:rPr>
        <w:fldChar w:fldCharType="end"/>
      </w:r>
      <w:r>
        <w:rPr>
          <w:rFonts w:ascii="Times New Roman" w:hAnsi="Times New Roman" w:cs="Times New Roman"/>
          <w:b/>
        </w:rPr>
        <w:t xml:space="preserve">: </w:t>
      </w:r>
      <w:r>
        <w:rPr>
          <w:rFonts w:ascii="Times New Roman" w:hAnsi="Times New Roman" w:cs="Times New Roman" w:hint="eastAsia"/>
          <w:b/>
        </w:rPr>
        <w:t>Consider up to 16 UE Rx for device types such as CPEs at 7 GHz for evaluations, which will be future proof and make 3GPP terrestrial specifications competitive enough for IMT-2030.</w:t>
      </w:r>
      <w:bookmarkEnd w:id="6"/>
    </w:p>
    <w:bookmarkEnd w:id="7"/>
    <w:p w14:paraId="6B9F24C2" w14:textId="77777777" w:rsidR="000F77EA" w:rsidRDefault="00000000">
      <w:pPr>
        <w:spacing w:line="276" w:lineRule="auto"/>
        <w:rPr>
          <w:rFonts w:ascii="Times New Roman" w:hAnsi="Times New Roman" w:cs="Times New Roman"/>
        </w:rPr>
      </w:pPr>
      <w:r>
        <w:rPr>
          <w:rFonts w:ascii="Times New Roman" w:hAnsi="Times New Roman" w:cs="Times New Roman" w:hint="eastAsia"/>
        </w:rPr>
        <w:t>On the number of antennas in configurations, we also observe that 8 Rx will likely remain as a configuration under 4 GHz carrier frequency.</w:t>
      </w:r>
    </w:p>
    <w:p w14:paraId="53520EDA" w14:textId="77777777" w:rsidR="000F77EA" w:rsidRDefault="00000000">
      <w:pPr>
        <w:spacing w:line="276" w:lineRule="auto"/>
        <w:rPr>
          <w:rFonts w:ascii="Times New Roman" w:hAnsi="Times New Roman" w:cs="Times New Roman"/>
          <w:b/>
        </w:rPr>
      </w:pPr>
      <w:r>
        <w:rPr>
          <w:rFonts w:ascii="Times New Roman" w:eastAsia="宋体" w:hAnsi="Times New Roman" w:cs="Times New Roman"/>
          <w:b/>
          <w:bCs/>
        </w:rPr>
        <w:t xml:space="preserve">Observation </w:t>
      </w:r>
      <w:r>
        <w:rPr>
          <w:rFonts w:ascii="Times New Roman" w:eastAsia="宋体" w:hAnsi="Times New Roman" w:cs="Times New Roman"/>
          <w:b/>
          <w:bCs/>
        </w:rPr>
        <w:fldChar w:fldCharType="begin"/>
      </w:r>
      <w:r>
        <w:rPr>
          <w:rFonts w:ascii="Times New Roman" w:eastAsia="宋体" w:hAnsi="Times New Roman" w:cs="Times New Roman"/>
          <w:b/>
          <w:bCs/>
        </w:rPr>
        <w:instrText xml:space="preserve"> SEQ Observation \* ARABIC </w:instrText>
      </w:r>
      <w:r>
        <w:rPr>
          <w:rFonts w:ascii="Times New Roman" w:eastAsia="宋体" w:hAnsi="Times New Roman" w:cs="Times New Roman"/>
          <w:b/>
          <w:bCs/>
        </w:rPr>
        <w:fldChar w:fldCharType="separate"/>
      </w:r>
      <w:r>
        <w:rPr>
          <w:rFonts w:ascii="Times New Roman" w:eastAsia="宋体" w:hAnsi="Times New Roman" w:cs="Times New Roman"/>
          <w:b/>
          <w:bCs/>
        </w:rPr>
        <w:t>5</w:t>
      </w:r>
      <w:r>
        <w:rPr>
          <w:rFonts w:ascii="Times New Roman" w:eastAsia="宋体" w:hAnsi="Times New Roman" w:cs="Times New Roman"/>
          <w:b/>
          <w:bCs/>
        </w:rPr>
        <w:fldChar w:fldCharType="end"/>
      </w:r>
      <w:r>
        <w:rPr>
          <w:rFonts w:ascii="Times New Roman" w:eastAsia="宋体" w:hAnsi="Times New Roman" w:cs="Times New Roman"/>
          <w:b/>
          <w:bCs/>
        </w:rPr>
        <w:t xml:space="preserve">: </w:t>
      </w:r>
      <w:r>
        <w:rPr>
          <w:rFonts w:ascii="Times New Roman" w:hAnsi="Times New Roman" w:cs="Times New Roman" w:hint="eastAsia"/>
          <w:bCs/>
        </w:rPr>
        <w:t>According to the ITU discussions, no one proposed to remove Configuration A (4 GHz and 8 UE Rx) from the list of configurations, and thus, 8 UE Rx will likely remain a valid configuration under 4 GHz</w:t>
      </w:r>
      <w:r>
        <w:rPr>
          <w:rFonts w:ascii="Times New Roman" w:hAnsi="Times New Roman" w:cs="Times New Roman" w:hint="eastAsia"/>
        </w:rPr>
        <w:t>.</w:t>
      </w:r>
    </w:p>
    <w:p w14:paraId="0E109C16" w14:textId="77777777" w:rsidR="000F77EA" w:rsidRDefault="00000000">
      <w:pPr>
        <w:pStyle w:val="1"/>
        <w:numPr>
          <w:ilvl w:val="0"/>
          <w:numId w:val="2"/>
        </w:numPr>
        <w:spacing w:line="276" w:lineRule="auto"/>
        <w:rPr>
          <w:rFonts w:cs="Arial"/>
          <w:szCs w:val="22"/>
        </w:rPr>
      </w:pPr>
      <w:r>
        <w:rPr>
          <w:rFonts w:cs="Arial"/>
          <w:szCs w:val="22"/>
        </w:rPr>
        <w:t>Summary</w:t>
      </w:r>
    </w:p>
    <w:p w14:paraId="2E40B822" w14:textId="77777777" w:rsidR="000F77EA" w:rsidRDefault="00000000">
      <w:pPr>
        <w:spacing w:line="276" w:lineRule="auto"/>
        <w:rPr>
          <w:rFonts w:ascii="Times New Roman" w:hAnsi="Times New Roman" w:cs="Times New Roman"/>
          <w:b/>
        </w:rPr>
      </w:pPr>
      <w:r>
        <w:rPr>
          <w:rFonts w:ascii="Times New Roman" w:hAnsi="Times New Roman" w:cs="Times New Roman"/>
          <w:b/>
        </w:rPr>
        <w:t xml:space="preserve">Proposal </w:t>
      </w:r>
      <w:r>
        <w:rPr>
          <w:rFonts w:ascii="Times New Roman" w:hAnsi="Times New Roman" w:cs="Times New Roman" w:hint="eastAsia"/>
          <w:b/>
        </w:rPr>
        <w:t>1</w:t>
      </w:r>
      <w:r>
        <w:rPr>
          <w:rFonts w:ascii="Times New Roman" w:hAnsi="Times New Roman" w:cs="Times New Roman"/>
          <w:b/>
        </w:rPr>
        <w:t>:</w:t>
      </w:r>
      <w:r>
        <w:rPr>
          <w:rFonts w:ascii="Times New Roman" w:hAnsi="Times New Roman" w:cs="Times New Roman" w:hint="eastAsia"/>
          <w:b/>
        </w:rPr>
        <w:t xml:space="preserve"> </w:t>
      </w:r>
      <w:r>
        <w:rPr>
          <w:rFonts w:ascii="Times New Roman" w:hAnsi="Times New Roman" w:cs="Times New Roman"/>
          <w:b/>
        </w:rPr>
        <w:t>Do not define TPR(s) for coverage, security, resilience and interoperability.</w:t>
      </w:r>
    </w:p>
    <w:p w14:paraId="03E4B66A" w14:textId="77777777" w:rsidR="000F77EA" w:rsidRDefault="00000000">
      <w:pPr>
        <w:adjustRightInd w:val="0"/>
        <w:snapToGrid w:val="0"/>
        <w:spacing w:before="180" w:after="120" w:line="276"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REF _Ref32606461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b/>
        </w:rPr>
        <w:t xml:space="preserve">Proposal 2: </w:t>
      </w:r>
      <w:r>
        <w:rPr>
          <w:rFonts w:ascii="Times New Roman" w:hAnsi="Times New Roman" w:cs="Times New Roman" w:hint="eastAsia"/>
          <w:b/>
        </w:rPr>
        <w:t>Define the values for the list of TPRs as in the table below to satisfy use cases agreed by SA1</w:t>
      </w:r>
      <w:r>
        <w:rPr>
          <w:rFonts w:ascii="Times New Roman" w:hAnsi="Times New Roman" w:cs="Times New Roman"/>
          <w:b/>
        </w:rPr>
        <w:t>.</w:t>
      </w:r>
      <w:r>
        <w:rPr>
          <w:rFonts w:ascii="Times New Roman" w:hAnsi="Times New Roman" w:cs="Times New Roman"/>
        </w:rPr>
        <w:fldChar w:fldCharType="end"/>
      </w:r>
    </w:p>
    <w:tbl>
      <w:tblPr>
        <w:tblW w:w="5000" w:type="pct"/>
        <w:jc w:val="center"/>
        <w:tblCellMar>
          <w:left w:w="0" w:type="dxa"/>
          <w:right w:w="0" w:type="dxa"/>
        </w:tblCellMar>
        <w:tblLook w:val="04A0" w:firstRow="1" w:lastRow="0" w:firstColumn="1" w:lastColumn="0" w:noHBand="0" w:noVBand="1"/>
      </w:tblPr>
      <w:tblGrid>
        <w:gridCol w:w="2218"/>
        <w:gridCol w:w="1922"/>
        <w:gridCol w:w="1842"/>
        <w:gridCol w:w="1842"/>
        <w:gridCol w:w="1838"/>
      </w:tblGrid>
      <w:tr w:rsidR="000F77EA" w14:paraId="1ECDBE89"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7836AD9D" w14:textId="77777777" w:rsidR="000F77EA" w:rsidRDefault="00000000">
            <w:pPr>
              <w:snapToGrid w:val="0"/>
              <w:rPr>
                <w:rFonts w:eastAsia="宋体"/>
                <w:b/>
                <w:bCs/>
                <w:sz w:val="20"/>
              </w:rPr>
            </w:pPr>
            <w:r>
              <w:rPr>
                <w:rFonts w:eastAsia="宋体"/>
                <w:b/>
                <w:bCs/>
                <w:sz w:val="20"/>
              </w:rPr>
              <w:t>ITU candidate TPR</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64AF4736" w14:textId="77777777" w:rsidR="000F77EA" w:rsidRDefault="00000000">
            <w:pPr>
              <w:snapToGrid w:val="0"/>
              <w:rPr>
                <w:rFonts w:eastAsia="宋体"/>
                <w:b/>
                <w:sz w:val="20"/>
              </w:rPr>
            </w:pPr>
            <w:r>
              <w:rPr>
                <w:rFonts w:eastAsia="宋体"/>
                <w:b/>
                <w:sz w:val="20"/>
              </w:rPr>
              <w:t>Target value of IMT</w:t>
            </w:r>
            <w:r>
              <w:rPr>
                <w:rFonts w:eastAsia="宋体" w:hint="eastAsia"/>
                <w:b/>
                <w:sz w:val="20"/>
              </w:rPr>
              <w:t>-</w:t>
            </w:r>
            <w:r>
              <w:rPr>
                <w:rFonts w:eastAsia="宋体"/>
                <w:b/>
                <w:sz w:val="20"/>
              </w:rPr>
              <w:t>2030</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34BC11A" w14:textId="77777777" w:rsidR="000F77EA" w:rsidRDefault="00000000">
            <w:pPr>
              <w:snapToGrid w:val="0"/>
              <w:rPr>
                <w:rFonts w:eastAsia="宋体"/>
                <w:b/>
                <w:sz w:val="20"/>
              </w:rPr>
            </w:pPr>
            <w:r>
              <w:rPr>
                <w:rFonts w:eastAsia="宋体"/>
                <w:b/>
                <w:sz w:val="20"/>
              </w:rPr>
              <w:t>Notes</w:t>
            </w:r>
          </w:p>
        </w:tc>
        <w:tc>
          <w:tcPr>
            <w:tcW w:w="953" w:type="pct"/>
            <w:tcBorders>
              <w:top w:val="single" w:sz="6" w:space="0" w:color="auto"/>
              <w:left w:val="nil"/>
              <w:bottom w:val="single" w:sz="6" w:space="0" w:color="auto"/>
              <w:right w:val="single" w:sz="6" w:space="0" w:color="auto"/>
            </w:tcBorders>
            <w:shd w:val="clear" w:color="auto" w:fill="FFFFFF"/>
            <w:vAlign w:val="center"/>
          </w:tcPr>
          <w:p w14:paraId="7C3BDE27" w14:textId="77777777" w:rsidR="000F77EA" w:rsidRDefault="00000000">
            <w:pPr>
              <w:snapToGrid w:val="0"/>
              <w:rPr>
                <w:rFonts w:eastAsia="宋体"/>
                <w:sz w:val="20"/>
              </w:rPr>
            </w:pPr>
            <w:r>
              <w:rPr>
                <w:rFonts w:eastAsia="宋体"/>
                <w:b/>
                <w:bCs/>
                <w:sz w:val="20"/>
              </w:rPr>
              <w:t>Target value of IMT</w:t>
            </w:r>
            <w:r>
              <w:rPr>
                <w:rFonts w:eastAsia="宋体" w:hint="eastAsia"/>
                <w:b/>
                <w:bCs/>
                <w:sz w:val="20"/>
              </w:rPr>
              <w:t>-</w:t>
            </w:r>
            <w:r>
              <w:rPr>
                <w:rFonts w:eastAsia="宋体"/>
                <w:b/>
                <w:bCs/>
                <w:sz w:val="20"/>
              </w:rPr>
              <w:t>2020</w:t>
            </w:r>
          </w:p>
        </w:tc>
        <w:tc>
          <w:tcPr>
            <w:tcW w:w="951" w:type="pct"/>
            <w:tcBorders>
              <w:top w:val="single" w:sz="6" w:space="0" w:color="auto"/>
              <w:left w:val="nil"/>
              <w:bottom w:val="single" w:sz="6" w:space="0" w:color="auto"/>
              <w:right w:val="single" w:sz="6" w:space="0" w:color="auto"/>
            </w:tcBorders>
            <w:shd w:val="clear" w:color="auto" w:fill="FFFFFF"/>
          </w:tcPr>
          <w:p w14:paraId="1FC68AF6" w14:textId="77777777" w:rsidR="000F77EA" w:rsidRDefault="00000000">
            <w:pPr>
              <w:snapToGrid w:val="0"/>
              <w:rPr>
                <w:rFonts w:eastAsia="宋体"/>
                <w:b/>
                <w:bCs/>
                <w:sz w:val="20"/>
              </w:rPr>
            </w:pPr>
            <w:r>
              <w:rPr>
                <w:rFonts w:eastAsia="宋体" w:hint="eastAsia"/>
                <w:b/>
                <w:bCs/>
                <w:sz w:val="20"/>
              </w:rPr>
              <w:t>Demanding use cases in IMT-2030</w:t>
            </w:r>
          </w:p>
        </w:tc>
      </w:tr>
      <w:tr w:rsidR="000F77EA" w14:paraId="1C8DE135" w14:textId="77777777">
        <w:trPr>
          <w:trHeight w:val="595"/>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561345F7" w14:textId="77777777" w:rsidR="000F77EA" w:rsidRDefault="00000000">
            <w:pPr>
              <w:snapToGrid w:val="0"/>
              <w:rPr>
                <w:rFonts w:eastAsia="宋体"/>
                <w:sz w:val="18"/>
                <w:szCs w:val="18"/>
              </w:rPr>
            </w:pPr>
            <w:r>
              <w:rPr>
                <w:rFonts w:eastAsia="宋体"/>
                <w:sz w:val="18"/>
                <w:szCs w:val="18"/>
              </w:rPr>
              <w:t>Peak data rate</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C6FF769" w14:textId="77777777" w:rsidR="000F77EA" w:rsidRDefault="00000000">
            <w:pPr>
              <w:snapToGrid w:val="0"/>
              <w:rPr>
                <w:rFonts w:eastAsia="宋体"/>
                <w:sz w:val="18"/>
                <w:szCs w:val="18"/>
              </w:rPr>
            </w:pPr>
            <w:r>
              <w:rPr>
                <w:rFonts w:eastAsia="宋体"/>
                <w:sz w:val="18"/>
                <w:szCs w:val="18"/>
              </w:rPr>
              <w:t>DL: 100, UL: 50 Gbit/s.</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2E735974" w14:textId="77777777" w:rsidR="000F77EA" w:rsidRDefault="00000000">
            <w:pPr>
              <w:snapToGrid w:val="0"/>
              <w:rPr>
                <w:rFonts w:eastAsia="宋体"/>
                <w:sz w:val="18"/>
                <w:szCs w:val="18"/>
              </w:rPr>
            </w:pPr>
            <w:r>
              <w:rPr>
                <w:rFonts w:eastAsia="宋体"/>
                <w:sz w:val="18"/>
                <w:szCs w:val="18"/>
              </w:rPr>
              <w:t>5xIMT-2020</w:t>
            </w:r>
          </w:p>
          <w:p w14:paraId="1A3B769C" w14:textId="77777777" w:rsidR="000F77EA" w:rsidRDefault="00000000">
            <w:pPr>
              <w:snapToGrid w:val="0"/>
              <w:rPr>
                <w:rFonts w:eastAsia="宋体"/>
                <w:sz w:val="18"/>
                <w:szCs w:val="18"/>
              </w:rPr>
            </w:pPr>
            <w:r>
              <w:rPr>
                <w:rFonts w:eastAsia="宋体"/>
                <w:sz w:val="18"/>
                <w:szCs w:val="18"/>
              </w:rPr>
              <w:t>Related to the increase of bandwidth, number of antenna</w:t>
            </w:r>
            <w:r>
              <w:rPr>
                <w:rFonts w:eastAsia="宋体" w:hint="eastAsia"/>
                <w:sz w:val="18"/>
                <w:szCs w:val="18"/>
              </w:rPr>
              <w:t>s</w:t>
            </w:r>
            <w:r>
              <w:rPr>
                <w:rFonts w:eastAsia="宋体"/>
                <w:sz w:val="18"/>
                <w:szCs w:val="18"/>
              </w:rPr>
              <w:t>, modulation order, etc</w:t>
            </w:r>
          </w:p>
        </w:tc>
        <w:tc>
          <w:tcPr>
            <w:tcW w:w="953" w:type="pct"/>
            <w:tcBorders>
              <w:top w:val="single" w:sz="6" w:space="0" w:color="auto"/>
              <w:left w:val="nil"/>
              <w:bottom w:val="single" w:sz="6" w:space="0" w:color="auto"/>
              <w:right w:val="single" w:sz="6" w:space="0" w:color="auto"/>
            </w:tcBorders>
            <w:shd w:val="clear" w:color="auto" w:fill="FFFFFF"/>
            <w:vAlign w:val="center"/>
          </w:tcPr>
          <w:p w14:paraId="7641EC60" w14:textId="77777777" w:rsidR="000F77EA" w:rsidRDefault="00000000">
            <w:pPr>
              <w:snapToGrid w:val="0"/>
              <w:rPr>
                <w:rFonts w:eastAsia="宋体"/>
                <w:sz w:val="18"/>
                <w:szCs w:val="18"/>
              </w:rPr>
            </w:pPr>
            <w:r>
              <w:rPr>
                <w:rFonts w:eastAsia="宋体"/>
                <w:sz w:val="18"/>
                <w:szCs w:val="18"/>
              </w:rPr>
              <w:t>– Downlink peak data rate is 20 Gbit/s.</w:t>
            </w:r>
            <w:r>
              <w:rPr>
                <w:rFonts w:eastAsia="宋体"/>
                <w:sz w:val="18"/>
                <w:szCs w:val="18"/>
              </w:rPr>
              <w:br/>
              <w:t>– Uplink peak data rate is 10 Gbit/s.</w:t>
            </w:r>
          </w:p>
        </w:tc>
        <w:tc>
          <w:tcPr>
            <w:tcW w:w="951" w:type="pct"/>
            <w:tcBorders>
              <w:top w:val="single" w:sz="6" w:space="0" w:color="auto"/>
              <w:left w:val="nil"/>
              <w:bottom w:val="single" w:sz="6" w:space="0" w:color="auto"/>
              <w:right w:val="single" w:sz="6" w:space="0" w:color="auto"/>
            </w:tcBorders>
            <w:shd w:val="clear" w:color="auto" w:fill="FFFFFF"/>
          </w:tcPr>
          <w:p w14:paraId="5A16176F" w14:textId="77777777" w:rsidR="000F77EA" w:rsidRDefault="00000000">
            <w:pPr>
              <w:snapToGrid w:val="0"/>
              <w:rPr>
                <w:rFonts w:eastAsia="宋体"/>
                <w:sz w:val="18"/>
                <w:szCs w:val="18"/>
              </w:rPr>
            </w:pPr>
            <w:r>
              <w:rPr>
                <w:rFonts w:eastAsia="宋体" w:hint="eastAsia"/>
                <w:sz w:val="18"/>
                <w:szCs w:val="18"/>
              </w:rPr>
              <w:t>H</w:t>
            </w:r>
            <w:r>
              <w:rPr>
                <w:rFonts w:eastAsia="宋体"/>
                <w:sz w:val="18"/>
                <w:szCs w:val="18"/>
              </w:rPr>
              <w:t>olographic communication</w:t>
            </w:r>
            <w:r>
              <w:rPr>
                <w:rFonts w:eastAsia="宋体" w:hint="eastAsia"/>
                <w:sz w:val="18"/>
                <w:szCs w:val="18"/>
              </w:rPr>
              <w:t>:</w:t>
            </w:r>
            <w:r>
              <w:rPr>
                <w:rFonts w:eastAsia="宋体"/>
                <w:sz w:val="18"/>
                <w:szCs w:val="18"/>
              </w:rPr>
              <w:t xml:space="preserve"> '100 Gbps range or beyond' (9.7, 22.870)</w:t>
            </w:r>
          </w:p>
        </w:tc>
      </w:tr>
      <w:tr w:rsidR="000F77EA" w14:paraId="3504CEC0" w14:textId="77777777">
        <w:trPr>
          <w:trHeight w:val="595"/>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0A05669B" w14:textId="77777777" w:rsidR="000F77EA" w:rsidRDefault="00000000">
            <w:pPr>
              <w:snapToGrid w:val="0"/>
              <w:rPr>
                <w:rFonts w:eastAsia="宋体"/>
                <w:sz w:val="18"/>
                <w:szCs w:val="18"/>
              </w:rPr>
            </w:pPr>
            <w:r>
              <w:rPr>
                <w:rFonts w:eastAsia="宋体"/>
                <w:sz w:val="18"/>
                <w:szCs w:val="18"/>
              </w:rPr>
              <w:t>Peak spectral efficiency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C3DEC34" w14:textId="77777777" w:rsidR="000F77EA" w:rsidRDefault="00000000">
            <w:pPr>
              <w:snapToGrid w:val="0"/>
              <w:rPr>
                <w:rFonts w:eastAsia="宋体"/>
                <w:sz w:val="18"/>
                <w:szCs w:val="18"/>
              </w:rPr>
            </w:pPr>
            <w:r>
              <w:rPr>
                <w:rFonts w:eastAsia="宋体"/>
                <w:sz w:val="18"/>
                <w:szCs w:val="18"/>
              </w:rPr>
              <w:t>DL: 75, UL: 37.5 bit/s/Hz</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E9B3A97" w14:textId="77777777" w:rsidR="000F77EA" w:rsidRDefault="00000000">
            <w:pPr>
              <w:snapToGrid w:val="0"/>
              <w:rPr>
                <w:rFonts w:eastAsia="宋体"/>
                <w:sz w:val="18"/>
                <w:szCs w:val="18"/>
              </w:rPr>
            </w:pPr>
            <w:r>
              <w:rPr>
                <w:rFonts w:eastAsia="宋体"/>
                <w:sz w:val="18"/>
                <w:szCs w:val="18"/>
              </w:rPr>
              <w:t>2.5xIMT-2020</w:t>
            </w:r>
          </w:p>
          <w:p w14:paraId="6423996E" w14:textId="77777777" w:rsidR="000F77EA" w:rsidRDefault="00000000">
            <w:pPr>
              <w:snapToGrid w:val="0"/>
              <w:rPr>
                <w:rFonts w:eastAsia="宋体"/>
                <w:sz w:val="18"/>
                <w:szCs w:val="18"/>
              </w:rPr>
            </w:pPr>
            <w:r>
              <w:rPr>
                <w:rFonts w:eastAsia="宋体" w:hint="eastAsia"/>
                <w:sz w:val="18"/>
                <w:szCs w:val="18"/>
              </w:rPr>
              <w:t>(NR can already achieve 1.6x with 256 QAM and 8 MIMO layers. 1024 QAM + 16 layers = 4x)</w:t>
            </w:r>
          </w:p>
        </w:tc>
        <w:tc>
          <w:tcPr>
            <w:tcW w:w="953" w:type="pct"/>
            <w:tcBorders>
              <w:top w:val="single" w:sz="6" w:space="0" w:color="auto"/>
              <w:left w:val="nil"/>
              <w:bottom w:val="single" w:sz="6" w:space="0" w:color="auto"/>
              <w:right w:val="single" w:sz="6" w:space="0" w:color="auto"/>
            </w:tcBorders>
            <w:shd w:val="clear" w:color="auto" w:fill="FFFFFF"/>
            <w:vAlign w:val="center"/>
          </w:tcPr>
          <w:p w14:paraId="44C2045A" w14:textId="77777777" w:rsidR="000F77EA" w:rsidRDefault="00000000">
            <w:pPr>
              <w:snapToGrid w:val="0"/>
              <w:rPr>
                <w:rFonts w:eastAsia="宋体"/>
                <w:sz w:val="18"/>
                <w:szCs w:val="18"/>
              </w:rPr>
            </w:pPr>
            <w:r>
              <w:rPr>
                <w:rFonts w:eastAsia="宋体"/>
                <w:sz w:val="18"/>
                <w:szCs w:val="18"/>
              </w:rPr>
              <w:t>– Downlink peak spectral efficiency is 30 bit/s/Hz.</w:t>
            </w:r>
            <w:r>
              <w:rPr>
                <w:rFonts w:eastAsia="宋体"/>
                <w:sz w:val="18"/>
                <w:szCs w:val="18"/>
              </w:rPr>
              <w:br/>
              <w:t>– Uplink peak spectral efficiency is 15 bit/s/Hz.</w:t>
            </w:r>
          </w:p>
        </w:tc>
        <w:tc>
          <w:tcPr>
            <w:tcW w:w="951" w:type="pct"/>
            <w:tcBorders>
              <w:top w:val="single" w:sz="6" w:space="0" w:color="auto"/>
              <w:left w:val="nil"/>
              <w:bottom w:val="single" w:sz="6" w:space="0" w:color="auto"/>
              <w:right w:val="single" w:sz="6" w:space="0" w:color="auto"/>
            </w:tcBorders>
            <w:shd w:val="clear" w:color="auto" w:fill="FFFFFF"/>
          </w:tcPr>
          <w:p w14:paraId="622DC00B" w14:textId="77777777" w:rsidR="000F77EA" w:rsidRDefault="00000000">
            <w:pPr>
              <w:rPr>
                <w:rFonts w:eastAsia="宋体"/>
                <w:sz w:val="18"/>
                <w:szCs w:val="18"/>
              </w:rPr>
            </w:pPr>
            <w:r>
              <w:rPr>
                <w:rFonts w:eastAsia="宋体"/>
                <w:sz w:val="18"/>
                <w:szCs w:val="18"/>
              </w:rPr>
              <w:t>See peak data rate</w:t>
            </w:r>
          </w:p>
          <w:p w14:paraId="102D4D8D" w14:textId="77777777" w:rsidR="000F77EA" w:rsidRDefault="000F77EA">
            <w:pPr>
              <w:snapToGrid w:val="0"/>
              <w:rPr>
                <w:rFonts w:eastAsia="宋体"/>
                <w:sz w:val="18"/>
                <w:szCs w:val="18"/>
              </w:rPr>
            </w:pPr>
          </w:p>
        </w:tc>
      </w:tr>
      <w:tr w:rsidR="000F77EA" w14:paraId="4D72E96B" w14:textId="77777777">
        <w:trPr>
          <w:trHeight w:val="595"/>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147C5BE4" w14:textId="77777777" w:rsidR="000F77EA" w:rsidRDefault="00000000">
            <w:pPr>
              <w:snapToGrid w:val="0"/>
              <w:rPr>
                <w:rFonts w:eastAsia="宋体"/>
                <w:sz w:val="18"/>
                <w:szCs w:val="18"/>
              </w:rPr>
            </w:pPr>
            <w:r>
              <w:rPr>
                <w:rFonts w:eastAsia="宋体"/>
                <w:sz w:val="18"/>
                <w:szCs w:val="18"/>
              </w:rPr>
              <w:t>User experienced data rate</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1DDFFE4" w14:textId="77777777" w:rsidR="000F77EA" w:rsidRDefault="00000000">
            <w:pPr>
              <w:snapToGrid w:val="0"/>
              <w:rPr>
                <w:rFonts w:eastAsia="宋体"/>
                <w:sz w:val="18"/>
                <w:szCs w:val="18"/>
              </w:rPr>
            </w:pPr>
            <w:r>
              <w:rPr>
                <w:rFonts w:eastAsia="宋体"/>
                <w:sz w:val="18"/>
                <w:szCs w:val="18"/>
              </w:rPr>
              <w:t>DL: 500, UL: 250 Mbit/s.</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CAE7AEF" w14:textId="77777777" w:rsidR="000F77EA" w:rsidRDefault="00000000">
            <w:pPr>
              <w:snapToGrid w:val="0"/>
              <w:rPr>
                <w:rFonts w:eastAsia="宋体"/>
                <w:sz w:val="18"/>
                <w:szCs w:val="18"/>
              </w:rPr>
            </w:pPr>
            <w:r>
              <w:rPr>
                <w:rFonts w:eastAsia="宋体"/>
                <w:sz w:val="18"/>
                <w:szCs w:val="18"/>
              </w:rPr>
              <w:t>5x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0CAF0A02" w14:textId="77777777" w:rsidR="000F77EA" w:rsidRDefault="00000000">
            <w:pPr>
              <w:snapToGrid w:val="0"/>
              <w:rPr>
                <w:rFonts w:eastAsia="宋体"/>
                <w:sz w:val="18"/>
                <w:szCs w:val="18"/>
              </w:rPr>
            </w:pPr>
            <w:r>
              <w:rPr>
                <w:rFonts w:eastAsia="宋体"/>
                <w:sz w:val="18"/>
                <w:szCs w:val="18"/>
              </w:rPr>
              <w:t>– Downlink user experienced data rate is 100 Mbit/s.</w:t>
            </w:r>
            <w:r>
              <w:rPr>
                <w:rFonts w:eastAsia="宋体"/>
                <w:sz w:val="18"/>
                <w:szCs w:val="18"/>
              </w:rPr>
              <w:br/>
              <w:t>– Uplink user experienced data rate is 50 Mbit/s.</w:t>
            </w:r>
          </w:p>
        </w:tc>
        <w:tc>
          <w:tcPr>
            <w:tcW w:w="951" w:type="pct"/>
            <w:tcBorders>
              <w:top w:val="single" w:sz="6" w:space="0" w:color="auto"/>
              <w:left w:val="nil"/>
              <w:bottom w:val="single" w:sz="6" w:space="0" w:color="auto"/>
              <w:right w:val="single" w:sz="6" w:space="0" w:color="auto"/>
            </w:tcBorders>
            <w:shd w:val="clear" w:color="auto" w:fill="FFFFFF"/>
          </w:tcPr>
          <w:p w14:paraId="321F976A" w14:textId="77777777" w:rsidR="000F77EA" w:rsidRDefault="00000000">
            <w:pPr>
              <w:snapToGrid w:val="0"/>
              <w:rPr>
                <w:rFonts w:eastAsia="宋体"/>
                <w:sz w:val="18"/>
                <w:szCs w:val="18"/>
              </w:rPr>
            </w:pPr>
            <w:r>
              <w:rPr>
                <w:rFonts w:eastAsia="宋体"/>
                <w:sz w:val="18"/>
                <w:szCs w:val="18"/>
              </w:rPr>
              <w:t>8K AR video with compression rate of 25/50 times: DL 960/480 MBps (indoor factory) (11.7, TR 22.870)</w:t>
            </w:r>
          </w:p>
          <w:p w14:paraId="01008931" w14:textId="77777777" w:rsidR="000F77EA" w:rsidRDefault="00000000">
            <w:pPr>
              <w:snapToGrid w:val="0"/>
              <w:rPr>
                <w:rFonts w:eastAsia="宋体"/>
                <w:sz w:val="18"/>
                <w:szCs w:val="18"/>
              </w:rPr>
            </w:pPr>
            <w:r>
              <w:rPr>
                <w:rFonts w:eastAsia="宋体"/>
                <w:sz w:val="18"/>
                <w:szCs w:val="18"/>
              </w:rPr>
              <w:t>Immersive gaming: DL 640 Mbps (in a smaller area) (9.1.6, TR 22.870)</w:t>
            </w:r>
          </w:p>
          <w:p w14:paraId="0C9BBB73" w14:textId="77777777" w:rsidR="000F77EA" w:rsidRDefault="00000000">
            <w:pPr>
              <w:snapToGrid w:val="0"/>
              <w:rPr>
                <w:rFonts w:eastAsia="宋体"/>
                <w:sz w:val="18"/>
                <w:szCs w:val="18"/>
              </w:rPr>
            </w:pPr>
            <w:r>
              <w:rPr>
                <w:rFonts w:eastAsia="宋体"/>
                <w:sz w:val="18"/>
                <w:szCs w:val="18"/>
              </w:rPr>
              <w:t xml:space="preserve">Synergized gaming enhancement (multi-media via collaboration </w:t>
            </w:r>
            <w:r>
              <w:rPr>
                <w:rFonts w:eastAsia="宋体"/>
                <w:sz w:val="18"/>
                <w:szCs w:val="18"/>
              </w:rPr>
              <w:lastRenderedPageBreak/>
              <w:t>among UE-network-cloud), UL 100-400 Mbps (9.2.6, 22.870)</w:t>
            </w:r>
          </w:p>
        </w:tc>
      </w:tr>
      <w:tr w:rsidR="000F77EA" w14:paraId="6419ED6E" w14:textId="77777777">
        <w:trPr>
          <w:trHeight w:val="893"/>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4C718D84" w14:textId="77777777" w:rsidR="000F77EA" w:rsidRDefault="00000000">
            <w:pPr>
              <w:snapToGrid w:val="0"/>
              <w:rPr>
                <w:rFonts w:eastAsia="宋体"/>
                <w:sz w:val="18"/>
                <w:szCs w:val="18"/>
              </w:rPr>
            </w:pPr>
            <w:r>
              <w:rPr>
                <w:rFonts w:eastAsia="宋体"/>
                <w:sz w:val="18"/>
                <w:szCs w:val="18"/>
              </w:rPr>
              <w:lastRenderedPageBreak/>
              <w:t>5th percentile user spectral efficiency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B4EE8CE" w14:textId="77777777" w:rsidR="000F77EA" w:rsidRDefault="00000000">
            <w:pPr>
              <w:snapToGrid w:val="0"/>
              <w:rPr>
                <w:rFonts w:eastAsia="宋体"/>
                <w:sz w:val="18"/>
                <w:szCs w:val="18"/>
              </w:rPr>
            </w:pPr>
            <w:r>
              <w:rPr>
                <w:rFonts w:eastAsia="宋体"/>
                <w:sz w:val="18"/>
                <w:szCs w:val="18"/>
              </w:rPr>
              <w:t>Indoor Hotspot 0.75(DL), 0.63 (UL)</w:t>
            </w:r>
            <w:r>
              <w:rPr>
                <w:rFonts w:eastAsia="宋体"/>
                <w:sz w:val="18"/>
                <w:szCs w:val="18"/>
              </w:rPr>
              <w:br/>
              <w:t>Dense Urban 0.563(DL), 0.45(UL)</w:t>
            </w:r>
            <w:r>
              <w:rPr>
                <w:rFonts w:eastAsia="宋体"/>
                <w:sz w:val="18"/>
                <w:szCs w:val="18"/>
              </w:rPr>
              <w:br/>
              <w:t>Rural 0.36(DL), 0.135(UL) bit/s/Hz</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D45F73C" w14:textId="77777777" w:rsidR="000F77EA" w:rsidRDefault="00000000">
            <w:pPr>
              <w:snapToGrid w:val="0"/>
              <w:rPr>
                <w:rFonts w:eastAsia="宋体"/>
                <w:sz w:val="18"/>
                <w:szCs w:val="18"/>
              </w:rPr>
            </w:pPr>
            <w:r>
              <w:rPr>
                <w:rFonts w:eastAsia="宋体"/>
                <w:sz w:val="18"/>
                <w:szCs w:val="18"/>
              </w:rPr>
              <w:t>2.5~3x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602A8ED0" w14:textId="77777777" w:rsidR="000F77EA" w:rsidRDefault="00000000">
            <w:pPr>
              <w:snapToGrid w:val="0"/>
              <w:rPr>
                <w:rFonts w:eastAsia="宋体"/>
                <w:sz w:val="18"/>
                <w:szCs w:val="18"/>
              </w:rPr>
            </w:pPr>
            <w:r>
              <w:rPr>
                <w:rFonts w:eastAsia="宋体"/>
                <w:sz w:val="18"/>
                <w:szCs w:val="18"/>
              </w:rPr>
              <w:t>(bit/s/Hz)</w:t>
            </w:r>
            <w:r>
              <w:rPr>
                <w:rFonts w:eastAsia="宋体"/>
                <w:sz w:val="18"/>
                <w:szCs w:val="18"/>
              </w:rPr>
              <w:br/>
              <w:t>Indoor Hotspot – eMBB 0.3(DL) 0.21(UL)</w:t>
            </w:r>
            <w:r>
              <w:rPr>
                <w:rFonts w:eastAsia="宋体"/>
                <w:sz w:val="18"/>
                <w:szCs w:val="18"/>
              </w:rPr>
              <w:br/>
              <w:t>Dense Urban – eMBB (NOTE 1) 0.225 0.15</w:t>
            </w:r>
            <w:r>
              <w:rPr>
                <w:rFonts w:eastAsia="宋体"/>
                <w:sz w:val="18"/>
                <w:szCs w:val="18"/>
              </w:rPr>
              <w:br/>
              <w:t>Rural – eMBB 0.12 0.045</w:t>
            </w:r>
          </w:p>
        </w:tc>
        <w:tc>
          <w:tcPr>
            <w:tcW w:w="951" w:type="pct"/>
            <w:tcBorders>
              <w:top w:val="single" w:sz="6" w:space="0" w:color="auto"/>
              <w:left w:val="nil"/>
              <w:bottom w:val="single" w:sz="6" w:space="0" w:color="auto"/>
              <w:right w:val="single" w:sz="6" w:space="0" w:color="auto"/>
            </w:tcBorders>
            <w:shd w:val="clear" w:color="auto" w:fill="FFFFFF"/>
          </w:tcPr>
          <w:p w14:paraId="5BB5AF7B" w14:textId="77777777" w:rsidR="000F77EA" w:rsidRDefault="00000000">
            <w:pPr>
              <w:snapToGrid w:val="0"/>
              <w:rPr>
                <w:rFonts w:eastAsia="宋体"/>
                <w:sz w:val="18"/>
                <w:szCs w:val="18"/>
              </w:rPr>
            </w:pPr>
            <w:r>
              <w:rPr>
                <w:rFonts w:eastAsia="宋体"/>
                <w:sz w:val="18"/>
                <w:szCs w:val="18"/>
              </w:rPr>
              <w:t>See user experienced data rate</w:t>
            </w:r>
          </w:p>
        </w:tc>
      </w:tr>
      <w:tr w:rsidR="000F77EA" w14:paraId="31B3BD3F" w14:textId="77777777">
        <w:trPr>
          <w:trHeight w:val="893"/>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51B67671" w14:textId="77777777" w:rsidR="000F77EA" w:rsidRDefault="00000000">
            <w:pPr>
              <w:snapToGrid w:val="0"/>
              <w:rPr>
                <w:rFonts w:eastAsia="宋体"/>
                <w:sz w:val="18"/>
                <w:szCs w:val="18"/>
              </w:rPr>
            </w:pPr>
            <w:r>
              <w:rPr>
                <w:rFonts w:eastAsia="宋体"/>
                <w:sz w:val="18"/>
                <w:szCs w:val="18"/>
              </w:rPr>
              <w:t>Average spectral efficiency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FEAB2F4" w14:textId="77777777" w:rsidR="000F77EA" w:rsidRDefault="00000000">
            <w:pPr>
              <w:snapToGrid w:val="0"/>
              <w:rPr>
                <w:rFonts w:eastAsia="宋体"/>
                <w:sz w:val="18"/>
                <w:szCs w:val="18"/>
              </w:rPr>
            </w:pPr>
            <w:r>
              <w:rPr>
                <w:rFonts w:eastAsia="宋体"/>
                <w:sz w:val="18"/>
                <w:szCs w:val="18"/>
              </w:rPr>
              <w:t>Indoor Hotspot 22.5(DL)  16.875(UL)</w:t>
            </w:r>
            <w:r>
              <w:rPr>
                <w:rFonts w:eastAsia="宋体"/>
                <w:sz w:val="18"/>
                <w:szCs w:val="18"/>
              </w:rPr>
              <w:br/>
              <w:t>Dense Urban 19.5(DL)  13.5(UL)</w:t>
            </w:r>
            <w:r>
              <w:rPr>
                <w:rFonts w:eastAsia="宋体"/>
                <w:sz w:val="18"/>
                <w:szCs w:val="18"/>
              </w:rPr>
              <w:br/>
              <w:t>Rural 8.25(DL)  4(UL) bit/s/Hz/TRxP</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9E015AE" w14:textId="77777777" w:rsidR="000F77EA" w:rsidRDefault="00000000">
            <w:pPr>
              <w:snapToGrid w:val="0"/>
              <w:rPr>
                <w:rFonts w:eastAsia="宋体"/>
                <w:sz w:val="18"/>
                <w:szCs w:val="18"/>
              </w:rPr>
            </w:pPr>
            <w:r>
              <w:rPr>
                <w:rFonts w:eastAsia="宋体"/>
                <w:sz w:val="18"/>
                <w:szCs w:val="18"/>
              </w:rPr>
              <w:t>2.5xIMT-2020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34AC824A" w14:textId="77777777" w:rsidR="000F77EA" w:rsidRDefault="00000000">
            <w:pPr>
              <w:snapToGrid w:val="0"/>
              <w:rPr>
                <w:rFonts w:eastAsia="宋体"/>
                <w:sz w:val="18"/>
                <w:szCs w:val="18"/>
              </w:rPr>
            </w:pPr>
            <w:r>
              <w:rPr>
                <w:rFonts w:eastAsia="宋体"/>
                <w:sz w:val="18"/>
                <w:szCs w:val="18"/>
              </w:rPr>
              <w:t>(bit/s/Hz/TRxP)</w:t>
            </w:r>
            <w:r>
              <w:rPr>
                <w:rFonts w:eastAsia="宋体"/>
                <w:sz w:val="18"/>
                <w:szCs w:val="18"/>
              </w:rPr>
              <w:br/>
              <w:t>Indoor Hotspot – eMBB 9 (DL) 6.75(UL)</w:t>
            </w:r>
            <w:r>
              <w:rPr>
                <w:rFonts w:eastAsia="宋体"/>
                <w:sz w:val="18"/>
                <w:szCs w:val="18"/>
              </w:rPr>
              <w:br/>
              <w:t>Dense Urban – eMBB (Note 1) 7.8 5.4</w:t>
            </w:r>
            <w:r>
              <w:rPr>
                <w:rFonts w:eastAsia="宋体"/>
                <w:sz w:val="18"/>
                <w:szCs w:val="18"/>
              </w:rPr>
              <w:br/>
              <w:t>Rural – eMBB 3.3 1.6</w:t>
            </w:r>
          </w:p>
        </w:tc>
        <w:tc>
          <w:tcPr>
            <w:tcW w:w="951" w:type="pct"/>
            <w:tcBorders>
              <w:top w:val="single" w:sz="6" w:space="0" w:color="auto"/>
              <w:left w:val="nil"/>
              <w:bottom w:val="single" w:sz="6" w:space="0" w:color="auto"/>
              <w:right w:val="single" w:sz="6" w:space="0" w:color="auto"/>
            </w:tcBorders>
            <w:shd w:val="clear" w:color="auto" w:fill="FFFFFF"/>
          </w:tcPr>
          <w:p w14:paraId="590F0EB3" w14:textId="77777777" w:rsidR="000F77EA" w:rsidRDefault="00000000">
            <w:pPr>
              <w:snapToGrid w:val="0"/>
              <w:rPr>
                <w:rFonts w:eastAsia="宋体"/>
                <w:sz w:val="18"/>
                <w:szCs w:val="18"/>
              </w:rPr>
            </w:pPr>
            <w:r>
              <w:rPr>
                <w:rFonts w:eastAsia="宋体"/>
                <w:sz w:val="18"/>
                <w:szCs w:val="18"/>
              </w:rPr>
              <w:t>See area traffic capacity</w:t>
            </w:r>
          </w:p>
        </w:tc>
      </w:tr>
      <w:tr w:rsidR="000F77EA" w14:paraId="193D8E3C" w14:textId="77777777">
        <w:trPr>
          <w:trHeight w:val="446"/>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576FFA05" w14:textId="77777777" w:rsidR="000F77EA" w:rsidRDefault="00000000">
            <w:pPr>
              <w:snapToGrid w:val="0"/>
              <w:rPr>
                <w:rFonts w:eastAsia="宋体"/>
                <w:sz w:val="18"/>
                <w:szCs w:val="18"/>
              </w:rPr>
            </w:pPr>
            <w:r>
              <w:rPr>
                <w:rFonts w:eastAsia="宋体"/>
                <w:sz w:val="18"/>
                <w:szCs w:val="18"/>
              </w:rPr>
              <w:t>Area traffic capacity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7DD76D60" w14:textId="77777777" w:rsidR="000F77EA" w:rsidRDefault="00000000">
            <w:pPr>
              <w:snapToGrid w:val="0"/>
              <w:rPr>
                <w:rFonts w:eastAsia="宋体"/>
                <w:sz w:val="18"/>
                <w:szCs w:val="18"/>
              </w:rPr>
            </w:pPr>
            <w:r>
              <w:rPr>
                <w:rFonts w:eastAsia="宋体"/>
                <w:sz w:val="18"/>
                <w:szCs w:val="18"/>
              </w:rPr>
              <w:t>Downlink 50 Mbit/s/m2 in the Indoor Hotspot-IC</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C8BFABA" w14:textId="77777777" w:rsidR="000F77EA" w:rsidRDefault="00000000">
            <w:pPr>
              <w:snapToGrid w:val="0"/>
              <w:rPr>
                <w:rFonts w:eastAsia="宋体"/>
                <w:sz w:val="18"/>
                <w:szCs w:val="18"/>
              </w:rPr>
            </w:pPr>
            <w:r>
              <w:rPr>
                <w:rFonts w:eastAsia="宋体"/>
                <w:sz w:val="18"/>
                <w:szCs w:val="18"/>
              </w:rPr>
              <w:t>5x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311E9F57" w14:textId="77777777" w:rsidR="000F77EA" w:rsidRDefault="00000000">
            <w:pPr>
              <w:snapToGrid w:val="0"/>
              <w:rPr>
                <w:rFonts w:eastAsia="宋体"/>
                <w:sz w:val="18"/>
                <w:szCs w:val="18"/>
              </w:rPr>
            </w:pPr>
            <w:r>
              <w:rPr>
                <w:rFonts w:eastAsia="宋体"/>
                <w:sz w:val="18"/>
                <w:szCs w:val="18"/>
              </w:rPr>
              <w:t>Downlink 10 Mbit/s/m2</w:t>
            </w:r>
            <w:r>
              <w:rPr>
                <w:rFonts w:eastAsia="宋体"/>
                <w:sz w:val="18"/>
                <w:szCs w:val="18"/>
              </w:rPr>
              <w:br/>
              <w:t>in the Indoor Hotspot – eMBB</w:t>
            </w:r>
          </w:p>
        </w:tc>
        <w:tc>
          <w:tcPr>
            <w:tcW w:w="951" w:type="pct"/>
            <w:tcBorders>
              <w:top w:val="single" w:sz="6" w:space="0" w:color="auto"/>
              <w:left w:val="nil"/>
              <w:bottom w:val="single" w:sz="6" w:space="0" w:color="auto"/>
              <w:right w:val="single" w:sz="6" w:space="0" w:color="auto"/>
            </w:tcBorders>
            <w:shd w:val="clear" w:color="auto" w:fill="FFFFFF"/>
          </w:tcPr>
          <w:p w14:paraId="7ED3AA6A" w14:textId="77777777" w:rsidR="000F77EA" w:rsidRDefault="00000000">
            <w:pPr>
              <w:snapToGrid w:val="0"/>
              <w:rPr>
                <w:rFonts w:eastAsia="宋体"/>
                <w:sz w:val="18"/>
                <w:szCs w:val="18"/>
              </w:rPr>
            </w:pPr>
            <w:r>
              <w:rPr>
                <w:rFonts w:eastAsia="宋体"/>
                <w:sz w:val="18"/>
                <w:szCs w:val="18"/>
              </w:rPr>
              <w:t>Seamless Immersive Reality in Education: X &lt; 250 Mbit/s/m2 (9.4.6, 22.870)</w:t>
            </w:r>
          </w:p>
        </w:tc>
      </w:tr>
      <w:tr w:rsidR="000F77EA" w14:paraId="7788F58E" w14:textId="77777777">
        <w:trPr>
          <w:trHeight w:val="446"/>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698652A9" w14:textId="77777777" w:rsidR="000F77EA" w:rsidRDefault="00000000">
            <w:pPr>
              <w:snapToGrid w:val="0"/>
              <w:rPr>
                <w:rFonts w:eastAsia="宋体"/>
                <w:sz w:val="18"/>
                <w:szCs w:val="18"/>
              </w:rPr>
            </w:pPr>
            <w:r>
              <w:rPr>
                <w:rFonts w:eastAsia="宋体"/>
                <w:sz w:val="18"/>
                <w:szCs w:val="18"/>
              </w:rPr>
              <w:t>User plane latency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611E0671" w14:textId="77777777" w:rsidR="000F77EA" w:rsidRDefault="00000000">
            <w:pPr>
              <w:snapToGrid w:val="0"/>
              <w:rPr>
                <w:rFonts w:eastAsia="宋体"/>
                <w:sz w:val="18"/>
                <w:szCs w:val="18"/>
              </w:rPr>
            </w:pPr>
            <w:r>
              <w:rPr>
                <w:rFonts w:eastAsia="宋体"/>
                <w:sz w:val="18"/>
                <w:szCs w:val="18"/>
              </w:rPr>
              <w:t>1ms for IC</w:t>
            </w:r>
            <w:r>
              <w:rPr>
                <w:rFonts w:eastAsia="宋体"/>
                <w:sz w:val="18"/>
                <w:szCs w:val="18"/>
              </w:rPr>
              <w:br/>
              <w:t>0.5ms HRLLC</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7EA1037" w14:textId="77777777" w:rsidR="000F77EA" w:rsidRDefault="00000000">
            <w:pPr>
              <w:snapToGrid w:val="0"/>
              <w:rPr>
                <w:rFonts w:eastAsia="宋体"/>
                <w:sz w:val="18"/>
                <w:szCs w:val="18"/>
              </w:rPr>
            </w:pPr>
            <w:r>
              <w:rPr>
                <w:rFonts w:eastAsia="宋体" w:hint="eastAsia"/>
                <w:sz w:val="18"/>
                <w:szCs w:val="18"/>
              </w:rPr>
              <w:t xml:space="preserve">At least </w:t>
            </w:r>
            <w:r>
              <w:rPr>
                <w:rFonts w:eastAsia="宋体"/>
                <w:sz w:val="18"/>
                <w:szCs w:val="18"/>
              </w:rPr>
              <w:t>1/2</w:t>
            </w:r>
            <w:r>
              <w:rPr>
                <w:rFonts w:eastAsia="宋体" w:hint="eastAsia"/>
                <w:sz w:val="18"/>
                <w:szCs w:val="18"/>
              </w:rPr>
              <w:t xml:space="preserve"> </w:t>
            </w:r>
            <w:r>
              <w:rPr>
                <w:rFonts w:eastAsia="宋体"/>
                <w:sz w:val="18"/>
                <w:szCs w:val="18"/>
              </w:rPr>
              <w:t>x IMT-2020</w:t>
            </w:r>
          </w:p>
          <w:p w14:paraId="497CEECA" w14:textId="77777777" w:rsidR="000F77EA" w:rsidRDefault="000F77EA">
            <w:pPr>
              <w:snapToGrid w:val="0"/>
              <w:rPr>
                <w:rFonts w:eastAsia="宋体"/>
                <w:sz w:val="18"/>
                <w:szCs w:val="18"/>
              </w:rPr>
            </w:pPr>
          </w:p>
        </w:tc>
        <w:tc>
          <w:tcPr>
            <w:tcW w:w="953" w:type="pct"/>
            <w:tcBorders>
              <w:top w:val="single" w:sz="6" w:space="0" w:color="auto"/>
              <w:left w:val="nil"/>
              <w:bottom w:val="single" w:sz="6" w:space="0" w:color="auto"/>
              <w:right w:val="single" w:sz="6" w:space="0" w:color="auto"/>
            </w:tcBorders>
            <w:shd w:val="clear" w:color="auto" w:fill="FFFFFF"/>
            <w:vAlign w:val="center"/>
          </w:tcPr>
          <w:p w14:paraId="58E188EF" w14:textId="77777777" w:rsidR="000F77EA" w:rsidRDefault="00000000">
            <w:pPr>
              <w:snapToGrid w:val="0"/>
              <w:rPr>
                <w:rFonts w:eastAsia="宋体"/>
                <w:sz w:val="18"/>
                <w:szCs w:val="18"/>
              </w:rPr>
            </w:pPr>
            <w:r>
              <w:rPr>
                <w:rFonts w:eastAsia="宋体"/>
                <w:sz w:val="18"/>
                <w:szCs w:val="18"/>
              </w:rPr>
              <w:t>4 ms for eMBB</w:t>
            </w:r>
            <w:r>
              <w:rPr>
                <w:rFonts w:eastAsia="宋体"/>
                <w:sz w:val="18"/>
                <w:szCs w:val="18"/>
              </w:rPr>
              <w:br/>
              <w:t>1 ms for URLLC</w:t>
            </w:r>
          </w:p>
        </w:tc>
        <w:tc>
          <w:tcPr>
            <w:tcW w:w="951" w:type="pct"/>
            <w:tcBorders>
              <w:top w:val="single" w:sz="6" w:space="0" w:color="auto"/>
              <w:left w:val="nil"/>
              <w:bottom w:val="single" w:sz="6" w:space="0" w:color="auto"/>
              <w:right w:val="single" w:sz="6" w:space="0" w:color="auto"/>
            </w:tcBorders>
            <w:shd w:val="clear" w:color="auto" w:fill="FFFFFF"/>
          </w:tcPr>
          <w:p w14:paraId="5F4F1296" w14:textId="77777777" w:rsidR="000F77EA" w:rsidRDefault="00000000">
            <w:pPr>
              <w:snapToGrid w:val="0"/>
              <w:rPr>
                <w:rFonts w:eastAsia="宋体"/>
                <w:sz w:val="18"/>
                <w:szCs w:val="18"/>
              </w:rPr>
            </w:pPr>
            <w:r>
              <w:rPr>
                <w:rFonts w:eastAsia="宋体"/>
                <w:sz w:val="18"/>
                <w:szCs w:val="18"/>
              </w:rPr>
              <w:t>0.1-1ms (ITU-R M.2160)</w:t>
            </w:r>
          </w:p>
        </w:tc>
      </w:tr>
      <w:tr w:rsidR="000F77EA" w14:paraId="561F7E6D" w14:textId="77777777">
        <w:trPr>
          <w:trHeight w:val="744"/>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5C414C75" w14:textId="77777777" w:rsidR="000F77EA" w:rsidRDefault="00000000">
            <w:pPr>
              <w:snapToGrid w:val="0"/>
              <w:rPr>
                <w:rFonts w:eastAsia="宋体"/>
                <w:sz w:val="18"/>
                <w:szCs w:val="18"/>
              </w:rPr>
            </w:pPr>
            <w:r>
              <w:rPr>
                <w:rFonts w:eastAsia="宋体"/>
                <w:sz w:val="18"/>
                <w:szCs w:val="18"/>
              </w:rPr>
              <w:t>Control plane latency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01F18B8" w14:textId="77777777" w:rsidR="000F77EA" w:rsidRDefault="00000000">
            <w:pPr>
              <w:snapToGrid w:val="0"/>
              <w:rPr>
                <w:rFonts w:eastAsia="宋体"/>
                <w:sz w:val="18"/>
                <w:szCs w:val="18"/>
              </w:rPr>
            </w:pPr>
            <w:r>
              <w:rPr>
                <w:rFonts w:eastAsia="宋体"/>
                <w:sz w:val="18"/>
                <w:szCs w:val="18"/>
              </w:rPr>
              <w:t xml:space="preserve">10ms </w:t>
            </w:r>
            <w:r>
              <w:rPr>
                <w:rFonts w:eastAsia="宋体"/>
                <w:sz w:val="18"/>
                <w:szCs w:val="18"/>
              </w:rPr>
              <w:br/>
            </w:r>
            <w:r>
              <w:rPr>
                <w:rFonts w:eastAsia="宋体" w:hint="eastAsia"/>
                <w:sz w:val="18"/>
                <w:szCs w:val="18"/>
              </w:rPr>
              <w:t xml:space="preserve">consider </w:t>
            </w:r>
            <w:r>
              <w:rPr>
                <w:rFonts w:eastAsia="宋体"/>
                <w:sz w:val="18"/>
                <w:szCs w:val="18"/>
              </w:rPr>
              <w:t>5ms</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4041A1E" w14:textId="77777777" w:rsidR="000F77EA" w:rsidRDefault="00000000">
            <w:pPr>
              <w:snapToGrid w:val="0"/>
              <w:rPr>
                <w:rFonts w:eastAsia="宋体"/>
                <w:sz w:val="18"/>
                <w:szCs w:val="18"/>
              </w:rPr>
            </w:pPr>
            <w:r>
              <w:rPr>
                <w:rFonts w:eastAsia="宋体"/>
                <w:sz w:val="18"/>
                <w:szCs w:val="18"/>
              </w:rPr>
              <w:t>1/2 or 1/4 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3C6AD17B" w14:textId="77777777" w:rsidR="000F77EA" w:rsidRDefault="00000000">
            <w:pPr>
              <w:snapToGrid w:val="0"/>
              <w:rPr>
                <w:rFonts w:eastAsia="宋体"/>
                <w:sz w:val="18"/>
                <w:szCs w:val="18"/>
              </w:rPr>
            </w:pPr>
            <w:r>
              <w:rPr>
                <w:rFonts w:eastAsia="宋体"/>
                <w:sz w:val="18"/>
                <w:szCs w:val="18"/>
              </w:rPr>
              <w:t>20 ms</w:t>
            </w:r>
            <w:r>
              <w:rPr>
                <w:rFonts w:eastAsia="宋体"/>
                <w:sz w:val="18"/>
                <w:szCs w:val="18"/>
              </w:rPr>
              <w:br/>
              <w:t>consider 10ms</w:t>
            </w:r>
          </w:p>
        </w:tc>
        <w:tc>
          <w:tcPr>
            <w:tcW w:w="951" w:type="pct"/>
            <w:tcBorders>
              <w:top w:val="single" w:sz="6" w:space="0" w:color="auto"/>
              <w:left w:val="nil"/>
              <w:bottom w:val="single" w:sz="6" w:space="0" w:color="auto"/>
              <w:right w:val="single" w:sz="6" w:space="0" w:color="auto"/>
            </w:tcBorders>
            <w:shd w:val="clear" w:color="auto" w:fill="FFFFFF"/>
          </w:tcPr>
          <w:p w14:paraId="68F33AB1" w14:textId="77777777" w:rsidR="000F77EA" w:rsidRDefault="000F77EA">
            <w:pPr>
              <w:snapToGrid w:val="0"/>
              <w:rPr>
                <w:rFonts w:eastAsia="宋体"/>
                <w:sz w:val="18"/>
                <w:szCs w:val="18"/>
              </w:rPr>
            </w:pPr>
          </w:p>
        </w:tc>
      </w:tr>
      <w:tr w:rsidR="000F77EA" w14:paraId="790ED7A3" w14:textId="77777777">
        <w:trPr>
          <w:trHeight w:val="744"/>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11420B8B" w14:textId="77777777" w:rsidR="000F77EA" w:rsidRDefault="00000000">
            <w:pPr>
              <w:snapToGrid w:val="0"/>
              <w:rPr>
                <w:rFonts w:eastAsia="宋体"/>
                <w:sz w:val="18"/>
                <w:szCs w:val="18"/>
              </w:rPr>
            </w:pPr>
            <w:r>
              <w:rPr>
                <w:rFonts w:eastAsia="宋体" w:hint="eastAsia"/>
                <w:sz w:val="18"/>
                <w:szCs w:val="18"/>
              </w:rPr>
              <w:t>Reliability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2DC19536" w14:textId="77777777" w:rsidR="000F77EA" w:rsidRDefault="00000000">
            <w:r>
              <w:rPr>
                <w:rFonts w:eastAsia="宋体"/>
                <w:sz w:val="16"/>
                <w:szCs w:val="16"/>
              </w:rPr>
              <w:t>1-10</w:t>
            </w:r>
            <w:r>
              <w:rPr>
                <w:rFonts w:eastAsia="宋体"/>
                <w:sz w:val="16"/>
                <w:szCs w:val="16"/>
                <w:vertAlign w:val="superscript"/>
              </w:rPr>
              <w:t>-7</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7685F78E" w14:textId="77777777" w:rsidR="000F77EA" w:rsidRDefault="00000000">
            <w:pPr>
              <w:snapToGrid w:val="0"/>
              <w:rPr>
                <w:rFonts w:eastAsia="宋体"/>
                <w:sz w:val="18"/>
                <w:szCs w:val="18"/>
              </w:rPr>
            </w:pPr>
            <w:r>
              <w:rPr>
                <w:rFonts w:eastAsia="宋体" w:hint="eastAsia"/>
                <w:sz w:val="18"/>
                <w:szCs w:val="18"/>
              </w:rPr>
              <w:t>1/1</w:t>
            </w:r>
            <w:r>
              <w:rPr>
                <w:rFonts w:eastAsia="宋体"/>
                <w:sz w:val="18"/>
                <w:szCs w:val="18"/>
              </w:rPr>
              <w:t>00 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0C76F29B" w14:textId="77777777" w:rsidR="000F77EA" w:rsidRDefault="00000000">
            <w:r>
              <w:rPr>
                <w:rFonts w:eastAsia="宋体"/>
                <w:sz w:val="16"/>
                <w:szCs w:val="16"/>
              </w:rPr>
              <w:t>1-10</w:t>
            </w:r>
            <w:r>
              <w:rPr>
                <w:rFonts w:eastAsia="宋体"/>
                <w:sz w:val="16"/>
                <w:szCs w:val="16"/>
                <w:vertAlign w:val="superscript"/>
              </w:rPr>
              <w:t>-5</w:t>
            </w:r>
          </w:p>
        </w:tc>
        <w:tc>
          <w:tcPr>
            <w:tcW w:w="951" w:type="pct"/>
            <w:tcBorders>
              <w:top w:val="single" w:sz="6" w:space="0" w:color="auto"/>
              <w:left w:val="nil"/>
              <w:bottom w:val="single" w:sz="6" w:space="0" w:color="auto"/>
              <w:right w:val="single" w:sz="6" w:space="0" w:color="auto"/>
            </w:tcBorders>
            <w:shd w:val="clear" w:color="auto" w:fill="FFFFFF"/>
          </w:tcPr>
          <w:p w14:paraId="4A45ED10" w14:textId="77777777" w:rsidR="000F77EA" w:rsidRDefault="00000000">
            <w:pPr>
              <w:rPr>
                <w:rFonts w:eastAsia="宋体"/>
                <w:sz w:val="16"/>
                <w:szCs w:val="16"/>
              </w:rPr>
            </w:pPr>
            <w:r>
              <w:rPr>
                <w:rFonts w:eastAsia="宋体"/>
                <w:sz w:val="16"/>
                <w:szCs w:val="16"/>
              </w:rPr>
              <w:t>Real time digital twins: 1 - 10^(-7) (11.3.6, 22.870)</w:t>
            </w:r>
          </w:p>
          <w:p w14:paraId="77A466F6" w14:textId="77777777" w:rsidR="000F77EA" w:rsidRDefault="00000000">
            <w:pPr>
              <w:rPr>
                <w:rFonts w:eastAsia="宋体"/>
                <w:sz w:val="16"/>
                <w:szCs w:val="16"/>
              </w:rPr>
            </w:pPr>
            <w:r>
              <w:rPr>
                <w:rFonts w:eastAsia="宋体"/>
                <w:sz w:val="16"/>
                <w:szCs w:val="16"/>
              </w:rPr>
              <w:t>Cooperating Mobile Robots: 1 - 10^(-7) (11.2.6, 22.870)</w:t>
            </w:r>
          </w:p>
        </w:tc>
      </w:tr>
      <w:tr w:rsidR="000F77EA" w14:paraId="44001AD8" w14:textId="77777777">
        <w:trPr>
          <w:trHeight w:val="223"/>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49737430" w14:textId="77777777" w:rsidR="000F77EA" w:rsidRDefault="00000000">
            <w:pPr>
              <w:snapToGrid w:val="0"/>
              <w:rPr>
                <w:rFonts w:eastAsia="宋体"/>
                <w:sz w:val="18"/>
                <w:szCs w:val="18"/>
              </w:rPr>
            </w:pPr>
            <w:r>
              <w:rPr>
                <w:rFonts w:eastAsia="宋体"/>
                <w:sz w:val="18"/>
                <w:szCs w:val="18"/>
              </w:rPr>
              <w:t>Connection density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6D3D2589" w14:textId="77777777" w:rsidR="000F77EA" w:rsidRDefault="00000000">
            <w:pPr>
              <w:snapToGrid w:val="0"/>
              <w:rPr>
                <w:rFonts w:eastAsia="宋体"/>
                <w:sz w:val="18"/>
                <w:szCs w:val="18"/>
              </w:rPr>
            </w:pPr>
            <w:r>
              <w:rPr>
                <w:rFonts w:eastAsia="宋体"/>
                <w:sz w:val="18"/>
                <w:szCs w:val="18"/>
              </w:rPr>
              <w:t>10^8 devices per km2 for Massive</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DD5D947" w14:textId="77777777" w:rsidR="000F77EA" w:rsidRDefault="00000000">
            <w:pPr>
              <w:snapToGrid w:val="0"/>
              <w:rPr>
                <w:rFonts w:eastAsia="宋体"/>
                <w:sz w:val="18"/>
                <w:szCs w:val="18"/>
              </w:rPr>
            </w:pPr>
            <w:r>
              <w:rPr>
                <w:rFonts w:eastAsia="宋体"/>
                <w:sz w:val="18"/>
                <w:szCs w:val="18"/>
              </w:rPr>
              <w:t>100x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6FFD50D5" w14:textId="77777777" w:rsidR="000F77EA" w:rsidRDefault="00000000">
            <w:pPr>
              <w:snapToGrid w:val="0"/>
              <w:rPr>
                <w:rFonts w:eastAsia="宋体"/>
                <w:sz w:val="18"/>
                <w:szCs w:val="18"/>
              </w:rPr>
            </w:pPr>
            <w:r>
              <w:rPr>
                <w:rFonts w:eastAsia="宋体"/>
                <w:sz w:val="18"/>
                <w:szCs w:val="18"/>
              </w:rPr>
              <w:t>1 000 000 devices per km2</w:t>
            </w:r>
          </w:p>
        </w:tc>
        <w:tc>
          <w:tcPr>
            <w:tcW w:w="951" w:type="pct"/>
            <w:tcBorders>
              <w:top w:val="single" w:sz="6" w:space="0" w:color="auto"/>
              <w:left w:val="nil"/>
              <w:bottom w:val="single" w:sz="6" w:space="0" w:color="auto"/>
              <w:right w:val="single" w:sz="6" w:space="0" w:color="auto"/>
            </w:tcBorders>
            <w:shd w:val="clear" w:color="auto" w:fill="FFFFFF"/>
          </w:tcPr>
          <w:p w14:paraId="6412E5A0" w14:textId="77777777" w:rsidR="000F77EA" w:rsidRDefault="000F77EA">
            <w:pPr>
              <w:snapToGrid w:val="0"/>
              <w:rPr>
                <w:rFonts w:eastAsia="宋体"/>
                <w:sz w:val="18"/>
                <w:szCs w:val="18"/>
              </w:rPr>
            </w:pPr>
          </w:p>
        </w:tc>
      </w:tr>
      <w:tr w:rsidR="000F77EA" w14:paraId="1FDA619F" w14:textId="77777777">
        <w:trPr>
          <w:trHeight w:val="1042"/>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5312A3A3" w14:textId="77777777" w:rsidR="000F77EA" w:rsidRDefault="00000000">
            <w:pPr>
              <w:snapToGrid w:val="0"/>
              <w:rPr>
                <w:rFonts w:eastAsia="宋体"/>
                <w:sz w:val="18"/>
                <w:szCs w:val="18"/>
              </w:rPr>
            </w:pPr>
            <w:r>
              <w:rPr>
                <w:rFonts w:eastAsia="宋体"/>
                <w:sz w:val="18"/>
                <w:szCs w:val="18"/>
              </w:rPr>
              <w:t>Mobility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D1C95E2" w14:textId="77777777" w:rsidR="000F77EA" w:rsidRDefault="00000000">
            <w:pPr>
              <w:snapToGrid w:val="0"/>
              <w:rPr>
                <w:rFonts w:eastAsia="宋体"/>
                <w:sz w:val="18"/>
                <w:szCs w:val="18"/>
              </w:rPr>
            </w:pPr>
            <w:r>
              <w:rPr>
                <w:rFonts w:eastAsia="宋体"/>
                <w:sz w:val="18"/>
                <w:szCs w:val="18"/>
              </w:rPr>
              <w:t>Add a mobility class for airplanes: 1000 km/h</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1CAEC7A2" w14:textId="77777777" w:rsidR="000F77EA" w:rsidRDefault="000F77EA">
            <w:pPr>
              <w:snapToGrid w:val="0"/>
              <w:rPr>
                <w:rFonts w:eastAsia="宋体"/>
                <w:sz w:val="18"/>
                <w:szCs w:val="18"/>
              </w:rPr>
            </w:pPr>
          </w:p>
        </w:tc>
        <w:tc>
          <w:tcPr>
            <w:tcW w:w="953" w:type="pct"/>
            <w:tcBorders>
              <w:top w:val="single" w:sz="6" w:space="0" w:color="auto"/>
              <w:left w:val="nil"/>
              <w:bottom w:val="single" w:sz="6" w:space="0" w:color="auto"/>
              <w:right w:val="single" w:sz="6" w:space="0" w:color="auto"/>
            </w:tcBorders>
            <w:shd w:val="clear" w:color="auto" w:fill="FFFFFF"/>
            <w:vAlign w:val="center"/>
          </w:tcPr>
          <w:p w14:paraId="782D6518" w14:textId="77777777" w:rsidR="000F77EA" w:rsidRDefault="00000000">
            <w:pPr>
              <w:snapToGrid w:val="0"/>
              <w:rPr>
                <w:rFonts w:eastAsia="宋体"/>
                <w:sz w:val="18"/>
                <w:szCs w:val="18"/>
              </w:rPr>
            </w:pPr>
            <w:r>
              <w:rPr>
                <w:rFonts w:eastAsia="宋体"/>
                <w:sz w:val="18"/>
                <w:szCs w:val="18"/>
              </w:rPr>
              <w:t>Stationary: 0 km/h</w:t>
            </w:r>
            <w:r>
              <w:rPr>
                <w:rFonts w:eastAsia="宋体"/>
                <w:sz w:val="18"/>
                <w:szCs w:val="18"/>
              </w:rPr>
              <w:br/>
              <w:t>Pedestrian: 0 km/h to 10 km/h</w:t>
            </w:r>
            <w:r>
              <w:rPr>
                <w:rFonts w:eastAsia="宋体"/>
                <w:sz w:val="18"/>
                <w:szCs w:val="18"/>
              </w:rPr>
              <w:br/>
              <w:t>Vehicular: 10 km/h to 120 km/h</w:t>
            </w:r>
            <w:r>
              <w:rPr>
                <w:rFonts w:eastAsia="宋体"/>
                <w:sz w:val="18"/>
                <w:szCs w:val="18"/>
              </w:rPr>
              <w:br/>
              <w:t>High speed vehicular: 120 km/h to 500 km/h.</w:t>
            </w:r>
          </w:p>
        </w:tc>
        <w:tc>
          <w:tcPr>
            <w:tcW w:w="951" w:type="pct"/>
            <w:tcBorders>
              <w:top w:val="single" w:sz="6" w:space="0" w:color="auto"/>
              <w:left w:val="nil"/>
              <w:bottom w:val="single" w:sz="6" w:space="0" w:color="auto"/>
              <w:right w:val="single" w:sz="6" w:space="0" w:color="auto"/>
            </w:tcBorders>
            <w:shd w:val="clear" w:color="auto" w:fill="FFFFFF"/>
          </w:tcPr>
          <w:p w14:paraId="008C425C" w14:textId="77777777" w:rsidR="000F77EA" w:rsidRDefault="00000000">
            <w:pPr>
              <w:snapToGrid w:val="0"/>
              <w:rPr>
                <w:rFonts w:eastAsia="宋体"/>
                <w:sz w:val="18"/>
                <w:szCs w:val="18"/>
              </w:rPr>
            </w:pPr>
            <w:r>
              <w:rPr>
                <w:rFonts w:eastAsia="宋体" w:hint="eastAsia"/>
                <w:sz w:val="18"/>
                <w:szCs w:val="18"/>
              </w:rPr>
              <w:t>ATG communications</w:t>
            </w:r>
          </w:p>
        </w:tc>
      </w:tr>
      <w:tr w:rsidR="000F77EA" w14:paraId="7BD0B0EC"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17DFCBF6" w14:textId="77777777" w:rsidR="000F77EA" w:rsidRDefault="00000000">
            <w:pPr>
              <w:snapToGrid w:val="0"/>
              <w:rPr>
                <w:rFonts w:eastAsia="宋体"/>
                <w:sz w:val="18"/>
                <w:szCs w:val="18"/>
              </w:rPr>
            </w:pPr>
            <w:r>
              <w:rPr>
                <w:rFonts w:eastAsia="宋体"/>
                <w:sz w:val="18"/>
                <w:szCs w:val="18"/>
              </w:rPr>
              <w:t>Mobility interruption time</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7FA04802" w14:textId="77777777" w:rsidR="000F77EA" w:rsidRDefault="00000000">
            <w:pPr>
              <w:snapToGrid w:val="0"/>
              <w:rPr>
                <w:rFonts w:eastAsia="宋体"/>
                <w:sz w:val="18"/>
                <w:szCs w:val="18"/>
              </w:rPr>
            </w:pPr>
            <w:r>
              <w:rPr>
                <w:rFonts w:eastAsia="宋体" w:hint="eastAsia"/>
                <w:sz w:val="18"/>
                <w:szCs w:val="18"/>
              </w:rPr>
              <w:t>0</w:t>
            </w:r>
            <w:r>
              <w:rPr>
                <w:rFonts w:eastAsia="宋体"/>
                <w:sz w:val="18"/>
                <w:szCs w:val="18"/>
              </w:rPr>
              <w:t>ms</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2F780A8" w14:textId="77777777" w:rsidR="000F77EA" w:rsidRDefault="00000000">
            <w:pPr>
              <w:snapToGrid w:val="0"/>
              <w:rPr>
                <w:rFonts w:eastAsia="宋体"/>
                <w:sz w:val="18"/>
                <w:szCs w:val="18"/>
              </w:rPr>
            </w:pPr>
            <w:r>
              <w:rPr>
                <w:rFonts w:eastAsia="宋体"/>
                <w:sz w:val="18"/>
                <w:szCs w:val="18"/>
              </w:rPr>
              <w:t>Same as IMT</w:t>
            </w:r>
            <w:r>
              <w:rPr>
                <w:rFonts w:eastAsia="宋体" w:hint="eastAsia"/>
                <w:sz w:val="18"/>
                <w:szCs w:val="18"/>
              </w:rPr>
              <w:t>-</w:t>
            </w:r>
            <w:r>
              <w:rPr>
                <w:rFonts w:eastAsia="宋体"/>
                <w:sz w:val="18"/>
                <w:szCs w:val="18"/>
              </w:rPr>
              <w: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2C0F7BEF" w14:textId="77777777" w:rsidR="000F77EA" w:rsidRDefault="00000000">
            <w:pPr>
              <w:snapToGrid w:val="0"/>
              <w:rPr>
                <w:rFonts w:eastAsia="宋体"/>
                <w:sz w:val="18"/>
                <w:szCs w:val="18"/>
              </w:rPr>
            </w:pPr>
            <w:r>
              <w:rPr>
                <w:rFonts w:eastAsia="宋体"/>
                <w:sz w:val="18"/>
                <w:szCs w:val="18"/>
              </w:rPr>
              <w:t>0ms</w:t>
            </w:r>
          </w:p>
        </w:tc>
        <w:tc>
          <w:tcPr>
            <w:tcW w:w="951" w:type="pct"/>
            <w:tcBorders>
              <w:top w:val="single" w:sz="6" w:space="0" w:color="auto"/>
              <w:left w:val="nil"/>
              <w:bottom w:val="single" w:sz="6" w:space="0" w:color="auto"/>
              <w:right w:val="single" w:sz="6" w:space="0" w:color="auto"/>
            </w:tcBorders>
            <w:shd w:val="clear" w:color="auto" w:fill="FFFFFF"/>
          </w:tcPr>
          <w:p w14:paraId="69123D90" w14:textId="77777777" w:rsidR="000F77EA" w:rsidRDefault="000F77EA">
            <w:pPr>
              <w:snapToGrid w:val="0"/>
              <w:rPr>
                <w:rFonts w:eastAsia="宋体"/>
                <w:sz w:val="18"/>
                <w:szCs w:val="18"/>
              </w:rPr>
            </w:pPr>
          </w:p>
        </w:tc>
      </w:tr>
      <w:tr w:rsidR="000F77EA" w14:paraId="4A685EED"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1020585B" w14:textId="77777777" w:rsidR="000F77EA" w:rsidRDefault="00000000">
            <w:pPr>
              <w:snapToGrid w:val="0"/>
              <w:rPr>
                <w:rFonts w:eastAsia="宋体"/>
                <w:sz w:val="18"/>
                <w:szCs w:val="18"/>
              </w:rPr>
            </w:pPr>
            <w:r>
              <w:rPr>
                <w:rFonts w:eastAsia="宋体"/>
                <w:sz w:val="18"/>
                <w:szCs w:val="18"/>
              </w:rPr>
              <w:t>Bandwidth</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3EA5008" w14:textId="77777777" w:rsidR="000F77EA" w:rsidRDefault="00000000">
            <w:pPr>
              <w:snapToGrid w:val="0"/>
              <w:rPr>
                <w:rFonts w:eastAsia="宋体"/>
                <w:sz w:val="18"/>
                <w:szCs w:val="18"/>
              </w:rPr>
            </w:pPr>
            <w:r>
              <w:rPr>
                <w:rFonts w:eastAsia="宋体" w:hint="eastAsia"/>
                <w:sz w:val="18"/>
                <w:szCs w:val="18"/>
              </w:rPr>
              <w:t>4</w:t>
            </w:r>
            <w:r>
              <w:rPr>
                <w:rFonts w:eastAsia="宋体"/>
                <w:sz w:val="18"/>
                <w:szCs w:val="18"/>
              </w:rPr>
              <w:t>00 MHz</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F0D2CDC" w14:textId="77777777" w:rsidR="000F77EA" w:rsidRDefault="00000000">
            <w:pPr>
              <w:snapToGrid w:val="0"/>
              <w:rPr>
                <w:rFonts w:eastAsia="宋体"/>
                <w:sz w:val="18"/>
                <w:szCs w:val="18"/>
              </w:rPr>
            </w:pPr>
            <w:r>
              <w:rPr>
                <w:rFonts w:eastAsia="宋体" w:hint="eastAsia"/>
                <w:sz w:val="18"/>
                <w:szCs w:val="18"/>
              </w:rPr>
              <w:t>4</w:t>
            </w:r>
            <w:r>
              <w:rPr>
                <w:rFonts w:eastAsia="宋体"/>
                <w:sz w:val="18"/>
                <w:szCs w:val="18"/>
              </w:rPr>
              <w:t>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077EA142" w14:textId="77777777" w:rsidR="000F77EA" w:rsidRDefault="00000000">
            <w:pPr>
              <w:snapToGrid w:val="0"/>
              <w:rPr>
                <w:rFonts w:eastAsia="宋体"/>
                <w:sz w:val="18"/>
                <w:szCs w:val="18"/>
              </w:rPr>
            </w:pPr>
            <w:r>
              <w:rPr>
                <w:rFonts w:eastAsia="宋体"/>
                <w:sz w:val="18"/>
                <w:szCs w:val="18"/>
              </w:rPr>
              <w:t>at least 100MHz</w:t>
            </w:r>
          </w:p>
        </w:tc>
        <w:tc>
          <w:tcPr>
            <w:tcW w:w="951" w:type="pct"/>
            <w:tcBorders>
              <w:top w:val="single" w:sz="6" w:space="0" w:color="auto"/>
              <w:left w:val="nil"/>
              <w:bottom w:val="single" w:sz="6" w:space="0" w:color="auto"/>
              <w:right w:val="single" w:sz="6" w:space="0" w:color="auto"/>
            </w:tcBorders>
            <w:shd w:val="clear" w:color="auto" w:fill="FFFFFF"/>
          </w:tcPr>
          <w:p w14:paraId="1FFD1055" w14:textId="77777777" w:rsidR="000F77EA" w:rsidRDefault="000F77EA">
            <w:pPr>
              <w:snapToGrid w:val="0"/>
              <w:rPr>
                <w:rFonts w:eastAsia="宋体"/>
                <w:sz w:val="18"/>
                <w:szCs w:val="18"/>
              </w:rPr>
            </w:pPr>
          </w:p>
        </w:tc>
      </w:tr>
      <w:tr w:rsidR="000F77EA" w14:paraId="40A48027"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210E7FF8" w14:textId="77777777" w:rsidR="000F77EA" w:rsidRDefault="00000000">
            <w:pPr>
              <w:snapToGrid w:val="0"/>
              <w:rPr>
                <w:rFonts w:eastAsia="宋体"/>
                <w:sz w:val="18"/>
                <w:szCs w:val="18"/>
              </w:rPr>
            </w:pPr>
            <w:r>
              <w:rPr>
                <w:rFonts w:eastAsia="宋体"/>
                <w:sz w:val="18"/>
                <w:szCs w:val="18"/>
              </w:rPr>
              <w:t>Energy efficiency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45006B7" w14:textId="77777777" w:rsidR="000F77EA" w:rsidRDefault="00000000">
            <w:pPr>
              <w:snapToGrid w:val="0"/>
              <w:rPr>
                <w:rFonts w:eastAsia="宋体"/>
                <w:sz w:val="18"/>
                <w:szCs w:val="18"/>
              </w:rPr>
            </w:pPr>
            <w:r>
              <w:rPr>
                <w:rFonts w:eastAsia="宋体" w:hint="eastAsia"/>
                <w:sz w:val="18"/>
                <w:szCs w:val="18"/>
              </w:rPr>
              <w:t>T</w:t>
            </w:r>
            <w:r>
              <w:rPr>
                <w:rFonts w:eastAsia="宋体"/>
                <w:sz w:val="18"/>
                <w:szCs w:val="18"/>
              </w:rPr>
              <w:t>BD</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D1E681B" w14:textId="77777777" w:rsidR="000F77EA" w:rsidRDefault="000F77EA">
            <w:pPr>
              <w:snapToGrid w:val="0"/>
              <w:rPr>
                <w:rFonts w:eastAsia="宋体"/>
                <w:sz w:val="18"/>
                <w:szCs w:val="18"/>
              </w:rPr>
            </w:pPr>
          </w:p>
        </w:tc>
        <w:tc>
          <w:tcPr>
            <w:tcW w:w="953" w:type="pct"/>
            <w:tcBorders>
              <w:top w:val="single" w:sz="6" w:space="0" w:color="auto"/>
              <w:left w:val="nil"/>
              <w:bottom w:val="single" w:sz="6" w:space="0" w:color="auto"/>
              <w:right w:val="single" w:sz="6" w:space="0" w:color="auto"/>
            </w:tcBorders>
            <w:shd w:val="clear" w:color="auto" w:fill="FFFFFF"/>
            <w:vAlign w:val="center"/>
          </w:tcPr>
          <w:p w14:paraId="228CB48B" w14:textId="77777777" w:rsidR="000F77EA" w:rsidRDefault="00000000">
            <w:pPr>
              <w:snapToGrid w:val="0"/>
              <w:rPr>
                <w:rFonts w:eastAsia="宋体"/>
                <w:sz w:val="18"/>
                <w:szCs w:val="18"/>
              </w:rPr>
            </w:pPr>
            <w:r>
              <w:rPr>
                <w:rFonts w:eastAsia="宋体" w:hint="eastAsia"/>
                <w:sz w:val="18"/>
                <w:szCs w:val="18"/>
              </w:rPr>
              <w:t>/</w:t>
            </w:r>
          </w:p>
        </w:tc>
        <w:tc>
          <w:tcPr>
            <w:tcW w:w="951" w:type="pct"/>
            <w:tcBorders>
              <w:top w:val="single" w:sz="6" w:space="0" w:color="auto"/>
              <w:left w:val="nil"/>
              <w:bottom w:val="single" w:sz="6" w:space="0" w:color="auto"/>
              <w:right w:val="single" w:sz="6" w:space="0" w:color="auto"/>
            </w:tcBorders>
            <w:shd w:val="clear" w:color="auto" w:fill="FFFFFF"/>
          </w:tcPr>
          <w:p w14:paraId="0AF6FF15" w14:textId="77777777" w:rsidR="000F77EA" w:rsidRDefault="000F77EA">
            <w:pPr>
              <w:snapToGrid w:val="0"/>
              <w:rPr>
                <w:rFonts w:eastAsia="宋体"/>
                <w:sz w:val="18"/>
                <w:szCs w:val="18"/>
              </w:rPr>
            </w:pPr>
          </w:p>
        </w:tc>
      </w:tr>
      <w:tr w:rsidR="000F77EA" w14:paraId="7D80CE5C"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01D52280" w14:textId="77777777" w:rsidR="000F77EA" w:rsidRDefault="00000000">
            <w:pPr>
              <w:snapToGrid w:val="0"/>
              <w:rPr>
                <w:rFonts w:eastAsia="宋体"/>
                <w:sz w:val="18"/>
                <w:szCs w:val="18"/>
              </w:rPr>
            </w:pPr>
            <w:r>
              <w:rPr>
                <w:rFonts w:eastAsia="宋体"/>
                <w:sz w:val="18"/>
                <w:szCs w:val="18"/>
              </w:rPr>
              <w:t>Sensing related capability</w:t>
            </w:r>
          </w:p>
          <w:p w14:paraId="6899432B" w14:textId="77777777" w:rsidR="000F77EA" w:rsidRDefault="00000000">
            <w:pPr>
              <w:widowControl/>
              <w:numPr>
                <w:ilvl w:val="0"/>
                <w:numId w:val="5"/>
              </w:numPr>
              <w:snapToGrid w:val="0"/>
              <w:spacing w:before="100" w:beforeAutospacing="1"/>
              <w:rPr>
                <w:rFonts w:eastAsia="宋体"/>
                <w:sz w:val="18"/>
                <w:szCs w:val="18"/>
              </w:rPr>
            </w:pPr>
            <w:r>
              <w:rPr>
                <w:rFonts w:eastAsia="宋体"/>
                <w:sz w:val="18"/>
                <w:szCs w:val="18"/>
              </w:rPr>
              <w:t>Detectability (Detection / False Alarm Probability)</w:t>
            </w:r>
          </w:p>
          <w:p w14:paraId="5AB2AB14" w14:textId="77777777" w:rsidR="000F77EA" w:rsidRDefault="00000000">
            <w:pPr>
              <w:widowControl/>
              <w:numPr>
                <w:ilvl w:val="0"/>
                <w:numId w:val="5"/>
              </w:numPr>
              <w:snapToGrid w:val="0"/>
              <w:spacing w:before="100" w:beforeAutospacing="1"/>
              <w:rPr>
                <w:rFonts w:eastAsia="宋体"/>
                <w:sz w:val="18"/>
                <w:szCs w:val="18"/>
              </w:rPr>
            </w:pPr>
            <w:r>
              <w:rPr>
                <w:rFonts w:eastAsia="宋体"/>
                <w:sz w:val="18"/>
                <w:szCs w:val="18"/>
              </w:rPr>
              <w:t>Localization accuracy</w:t>
            </w:r>
          </w:p>
          <w:p w14:paraId="135A02AC" w14:textId="77777777" w:rsidR="000F77EA" w:rsidRDefault="00000000">
            <w:pPr>
              <w:widowControl/>
              <w:numPr>
                <w:ilvl w:val="0"/>
                <w:numId w:val="5"/>
              </w:numPr>
              <w:snapToGrid w:val="0"/>
              <w:spacing w:before="100" w:beforeAutospacing="1"/>
              <w:rPr>
                <w:rFonts w:eastAsia="宋体"/>
                <w:sz w:val="18"/>
                <w:szCs w:val="18"/>
              </w:rPr>
            </w:pPr>
            <w:r>
              <w:rPr>
                <w:rFonts w:eastAsia="宋体"/>
                <w:sz w:val="18"/>
                <w:szCs w:val="18"/>
              </w:rPr>
              <w:t>Velocity accuracy</w:t>
            </w:r>
          </w:p>
          <w:p w14:paraId="7F25433E" w14:textId="77777777" w:rsidR="000F77EA" w:rsidRDefault="00000000">
            <w:pPr>
              <w:widowControl/>
              <w:numPr>
                <w:ilvl w:val="0"/>
                <w:numId w:val="5"/>
              </w:numPr>
              <w:snapToGrid w:val="0"/>
              <w:spacing w:before="100" w:beforeAutospacing="1"/>
              <w:rPr>
                <w:rFonts w:eastAsia="宋体"/>
                <w:sz w:val="18"/>
                <w:szCs w:val="18"/>
              </w:rPr>
            </w:pPr>
            <w:r>
              <w:rPr>
                <w:rFonts w:eastAsia="宋体"/>
                <w:sz w:val="18"/>
                <w:szCs w:val="18"/>
              </w:rPr>
              <w:t>Sensing resolution</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3919BA8" w14:textId="77777777" w:rsidR="000F77EA" w:rsidRDefault="00000000">
            <w:pPr>
              <w:widowControl/>
              <w:numPr>
                <w:ilvl w:val="0"/>
                <w:numId w:val="6"/>
              </w:numPr>
              <w:snapToGrid w:val="0"/>
              <w:spacing w:before="100" w:beforeAutospacing="1"/>
              <w:ind w:left="216" w:hanging="216"/>
              <w:rPr>
                <w:rFonts w:eastAsia="宋体"/>
                <w:sz w:val="18"/>
                <w:szCs w:val="18"/>
              </w:rPr>
            </w:pPr>
            <w:r>
              <w:rPr>
                <w:rFonts w:eastAsia="宋体"/>
                <w:sz w:val="18"/>
                <w:szCs w:val="18"/>
              </w:rPr>
              <w:t>Detection</w:t>
            </w:r>
            <w:r>
              <w:rPr>
                <w:rFonts w:eastAsia="宋体" w:hint="eastAsia"/>
                <w:sz w:val="18"/>
                <w:szCs w:val="18"/>
              </w:rPr>
              <w:t>:</w:t>
            </w:r>
            <w:r>
              <w:rPr>
                <w:rFonts w:eastAsia="宋体"/>
                <w:sz w:val="18"/>
                <w:szCs w:val="18"/>
              </w:rPr>
              <w:t xml:space="preserve"> 95%</w:t>
            </w:r>
          </w:p>
          <w:p w14:paraId="140D58DF" w14:textId="77777777" w:rsidR="000F77EA" w:rsidRDefault="00000000">
            <w:pPr>
              <w:widowControl/>
              <w:numPr>
                <w:ilvl w:val="0"/>
                <w:numId w:val="6"/>
              </w:numPr>
              <w:snapToGrid w:val="0"/>
              <w:spacing w:before="100" w:beforeAutospacing="1"/>
              <w:ind w:left="216" w:hanging="216"/>
              <w:rPr>
                <w:rFonts w:eastAsia="宋体"/>
                <w:sz w:val="18"/>
                <w:szCs w:val="18"/>
              </w:rPr>
            </w:pPr>
            <w:r>
              <w:rPr>
                <w:rFonts w:eastAsia="宋体" w:hint="eastAsia"/>
                <w:sz w:val="18"/>
                <w:szCs w:val="18"/>
              </w:rPr>
              <w:t>F</w:t>
            </w:r>
            <w:r>
              <w:rPr>
                <w:rFonts w:eastAsia="宋体"/>
                <w:sz w:val="18"/>
                <w:szCs w:val="18"/>
              </w:rPr>
              <w:t xml:space="preserve">alse alarm: 5% </w:t>
            </w:r>
          </w:p>
          <w:p w14:paraId="5F171882" w14:textId="77777777" w:rsidR="000F77EA" w:rsidRDefault="00000000">
            <w:pPr>
              <w:widowControl/>
              <w:numPr>
                <w:ilvl w:val="0"/>
                <w:numId w:val="6"/>
              </w:numPr>
              <w:snapToGrid w:val="0"/>
              <w:spacing w:before="100" w:beforeAutospacing="1"/>
              <w:ind w:left="216" w:hanging="216"/>
              <w:rPr>
                <w:rFonts w:eastAsia="宋体"/>
                <w:sz w:val="18"/>
                <w:szCs w:val="18"/>
              </w:rPr>
            </w:pPr>
            <w:r>
              <w:rPr>
                <w:rFonts w:eastAsia="宋体" w:hint="eastAsia"/>
                <w:sz w:val="18"/>
                <w:szCs w:val="18"/>
              </w:rPr>
              <w:t>H</w:t>
            </w:r>
            <w:r>
              <w:rPr>
                <w:rFonts w:eastAsia="宋体"/>
                <w:sz w:val="18"/>
                <w:szCs w:val="18"/>
              </w:rPr>
              <w:t>orizontal accuracy</w:t>
            </w:r>
            <w:r>
              <w:rPr>
                <w:rFonts w:eastAsia="宋体" w:hint="eastAsia"/>
                <w:sz w:val="18"/>
                <w:szCs w:val="18"/>
              </w:rPr>
              <w:t>:</w:t>
            </w:r>
            <w:r>
              <w:rPr>
                <w:rFonts w:eastAsia="宋体"/>
                <w:sz w:val="18"/>
                <w:szCs w:val="18"/>
              </w:rPr>
              <w:t xml:space="preserve"> 2m </w:t>
            </w:r>
          </w:p>
          <w:p w14:paraId="14142798" w14:textId="77777777" w:rsidR="000F77EA" w:rsidRDefault="00000000">
            <w:pPr>
              <w:widowControl/>
              <w:numPr>
                <w:ilvl w:val="0"/>
                <w:numId w:val="6"/>
              </w:numPr>
              <w:snapToGrid w:val="0"/>
              <w:spacing w:before="100" w:beforeAutospacing="1"/>
              <w:ind w:left="216" w:hanging="216"/>
              <w:rPr>
                <w:rFonts w:eastAsia="宋体"/>
                <w:sz w:val="18"/>
                <w:szCs w:val="18"/>
              </w:rPr>
            </w:pPr>
            <w:r>
              <w:rPr>
                <w:rFonts w:eastAsia="宋体" w:hint="eastAsia"/>
                <w:sz w:val="18"/>
                <w:szCs w:val="18"/>
              </w:rPr>
              <w:t>V</w:t>
            </w:r>
            <w:r>
              <w:rPr>
                <w:rFonts w:eastAsia="宋体"/>
                <w:sz w:val="18"/>
                <w:szCs w:val="18"/>
              </w:rPr>
              <w:t>ertical localization accuracy</w:t>
            </w:r>
            <w:r>
              <w:rPr>
                <w:rFonts w:eastAsia="宋体" w:hint="eastAsia"/>
                <w:sz w:val="18"/>
                <w:szCs w:val="18"/>
              </w:rPr>
              <w:t>:</w:t>
            </w:r>
            <w:r>
              <w:rPr>
                <w:rFonts w:eastAsia="宋体"/>
                <w:sz w:val="18"/>
                <w:szCs w:val="18"/>
              </w:rPr>
              <w:t xml:space="preserve"> 5m </w:t>
            </w:r>
          </w:p>
          <w:p w14:paraId="643FA910" w14:textId="77777777" w:rsidR="000F77EA" w:rsidRDefault="00000000">
            <w:pPr>
              <w:widowControl/>
              <w:numPr>
                <w:ilvl w:val="0"/>
                <w:numId w:val="6"/>
              </w:numPr>
              <w:snapToGrid w:val="0"/>
              <w:spacing w:before="100" w:beforeAutospacing="1"/>
              <w:ind w:left="216" w:hanging="216"/>
              <w:rPr>
                <w:rFonts w:eastAsia="宋体"/>
                <w:sz w:val="18"/>
                <w:szCs w:val="18"/>
              </w:rPr>
            </w:pPr>
            <w:r>
              <w:rPr>
                <w:rFonts w:eastAsia="宋体" w:hint="eastAsia"/>
                <w:sz w:val="18"/>
                <w:szCs w:val="18"/>
              </w:rPr>
              <w:t>V</w:t>
            </w:r>
            <w:r>
              <w:rPr>
                <w:rFonts w:eastAsia="宋体"/>
                <w:sz w:val="18"/>
                <w:szCs w:val="18"/>
              </w:rPr>
              <w:t xml:space="preserve">elocity accuracy </w:t>
            </w:r>
            <w:r>
              <w:rPr>
                <w:rFonts w:eastAsia="宋体" w:hint="eastAsia"/>
                <w:sz w:val="18"/>
                <w:szCs w:val="18"/>
              </w:rPr>
              <w:t xml:space="preserve">: </w:t>
            </w:r>
            <w:r>
              <w:rPr>
                <w:rFonts w:eastAsia="宋体"/>
                <w:sz w:val="18"/>
                <w:szCs w:val="18"/>
              </w:rPr>
              <w:t>1m/s.</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7945C983" w14:textId="77777777" w:rsidR="000F77EA" w:rsidRDefault="00000000">
            <w:pPr>
              <w:snapToGrid w:val="0"/>
              <w:rPr>
                <w:rFonts w:eastAsia="宋体"/>
                <w:sz w:val="18"/>
                <w:szCs w:val="18"/>
              </w:rPr>
            </w:pPr>
            <w:r>
              <w:rPr>
                <w:rFonts w:eastAsia="宋体"/>
                <w:sz w:val="18"/>
                <w:szCs w:val="18"/>
              </w:rPr>
              <w:t>Refer to TS 22.137 sensing service category 2</w:t>
            </w:r>
          </w:p>
        </w:tc>
        <w:tc>
          <w:tcPr>
            <w:tcW w:w="953" w:type="pct"/>
            <w:tcBorders>
              <w:top w:val="single" w:sz="6" w:space="0" w:color="auto"/>
              <w:left w:val="nil"/>
              <w:bottom w:val="single" w:sz="6" w:space="0" w:color="auto"/>
              <w:right w:val="single" w:sz="6" w:space="0" w:color="auto"/>
            </w:tcBorders>
            <w:shd w:val="clear" w:color="auto" w:fill="FFFFFF"/>
            <w:vAlign w:val="center"/>
          </w:tcPr>
          <w:p w14:paraId="0550ACB7" w14:textId="77777777" w:rsidR="000F77EA" w:rsidRDefault="00000000">
            <w:pPr>
              <w:snapToGrid w:val="0"/>
              <w:rPr>
                <w:rFonts w:eastAsia="宋体"/>
                <w:sz w:val="18"/>
                <w:szCs w:val="18"/>
              </w:rPr>
            </w:pPr>
            <w:r>
              <w:rPr>
                <w:rFonts w:eastAsia="宋体" w:hint="eastAsia"/>
                <w:sz w:val="18"/>
                <w:szCs w:val="18"/>
              </w:rPr>
              <w:t>/</w:t>
            </w:r>
          </w:p>
        </w:tc>
        <w:tc>
          <w:tcPr>
            <w:tcW w:w="951" w:type="pct"/>
            <w:tcBorders>
              <w:top w:val="single" w:sz="6" w:space="0" w:color="auto"/>
              <w:left w:val="nil"/>
              <w:bottom w:val="single" w:sz="6" w:space="0" w:color="auto"/>
              <w:right w:val="single" w:sz="6" w:space="0" w:color="auto"/>
            </w:tcBorders>
            <w:shd w:val="clear" w:color="auto" w:fill="FFFFFF"/>
          </w:tcPr>
          <w:p w14:paraId="02FEA15B" w14:textId="77777777" w:rsidR="000F77EA" w:rsidRDefault="000F77EA">
            <w:pPr>
              <w:snapToGrid w:val="0"/>
              <w:rPr>
                <w:rFonts w:eastAsia="宋体"/>
                <w:sz w:val="18"/>
                <w:szCs w:val="18"/>
              </w:rPr>
            </w:pPr>
          </w:p>
        </w:tc>
      </w:tr>
      <w:tr w:rsidR="000F77EA" w14:paraId="71BE7C3F"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5179A95E" w14:textId="77777777" w:rsidR="000F77EA" w:rsidRDefault="00000000">
            <w:pPr>
              <w:snapToGrid w:val="0"/>
              <w:rPr>
                <w:rFonts w:eastAsia="宋体"/>
                <w:sz w:val="18"/>
                <w:szCs w:val="18"/>
              </w:rPr>
            </w:pPr>
            <w:r>
              <w:rPr>
                <w:rFonts w:eastAsia="宋体"/>
                <w:sz w:val="18"/>
                <w:szCs w:val="18"/>
              </w:rPr>
              <w:t>Composite requirement on data rate, latency, reliability and capacity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36354FD" w14:textId="77777777" w:rsidR="000F77EA" w:rsidRDefault="00000000">
            <w:pPr>
              <w:snapToGrid w:val="0"/>
              <w:rPr>
                <w:rFonts w:eastAsia="宋体"/>
                <w:sz w:val="18"/>
                <w:szCs w:val="18"/>
              </w:rPr>
            </w:pPr>
            <w:r>
              <w:rPr>
                <w:rFonts w:eastAsia="宋体" w:hint="eastAsia"/>
                <w:sz w:val="18"/>
                <w:szCs w:val="18"/>
              </w:rPr>
              <w:t>T</w:t>
            </w:r>
            <w:r>
              <w:rPr>
                <w:rFonts w:eastAsia="宋体"/>
                <w:sz w:val="18"/>
                <w:szCs w:val="18"/>
              </w:rPr>
              <w:t>BD</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4C03F95" w14:textId="77777777" w:rsidR="000F77EA" w:rsidRDefault="000F77EA">
            <w:pPr>
              <w:snapToGrid w:val="0"/>
              <w:rPr>
                <w:rFonts w:eastAsia="宋体"/>
                <w:sz w:val="18"/>
                <w:szCs w:val="18"/>
              </w:rPr>
            </w:pPr>
          </w:p>
        </w:tc>
        <w:tc>
          <w:tcPr>
            <w:tcW w:w="953" w:type="pct"/>
            <w:tcBorders>
              <w:top w:val="single" w:sz="6" w:space="0" w:color="auto"/>
              <w:left w:val="nil"/>
              <w:bottom w:val="single" w:sz="6" w:space="0" w:color="auto"/>
              <w:right w:val="single" w:sz="6" w:space="0" w:color="auto"/>
            </w:tcBorders>
            <w:shd w:val="clear" w:color="auto" w:fill="FFFFFF"/>
            <w:vAlign w:val="center"/>
          </w:tcPr>
          <w:p w14:paraId="6E541084" w14:textId="77777777" w:rsidR="000F77EA" w:rsidRDefault="00000000">
            <w:pPr>
              <w:snapToGrid w:val="0"/>
              <w:rPr>
                <w:rFonts w:eastAsia="宋体"/>
                <w:sz w:val="18"/>
                <w:szCs w:val="18"/>
              </w:rPr>
            </w:pPr>
            <w:r>
              <w:rPr>
                <w:rFonts w:eastAsia="宋体" w:hint="eastAsia"/>
                <w:sz w:val="18"/>
                <w:szCs w:val="18"/>
              </w:rPr>
              <w:t>/</w:t>
            </w:r>
          </w:p>
        </w:tc>
        <w:tc>
          <w:tcPr>
            <w:tcW w:w="951" w:type="pct"/>
            <w:tcBorders>
              <w:top w:val="single" w:sz="6" w:space="0" w:color="auto"/>
              <w:left w:val="nil"/>
              <w:bottom w:val="single" w:sz="6" w:space="0" w:color="auto"/>
              <w:right w:val="single" w:sz="6" w:space="0" w:color="auto"/>
            </w:tcBorders>
            <w:shd w:val="clear" w:color="auto" w:fill="FFFFFF"/>
          </w:tcPr>
          <w:p w14:paraId="2A0A8C8B" w14:textId="77777777" w:rsidR="000F77EA" w:rsidRDefault="000F77EA">
            <w:pPr>
              <w:snapToGrid w:val="0"/>
              <w:rPr>
                <w:rFonts w:eastAsia="宋体"/>
                <w:sz w:val="18"/>
                <w:szCs w:val="18"/>
              </w:rPr>
            </w:pPr>
          </w:p>
        </w:tc>
      </w:tr>
      <w:tr w:rsidR="000F77EA" w14:paraId="5D8B98BA"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33B16F3A" w14:textId="77777777" w:rsidR="000F77EA" w:rsidRDefault="00000000">
            <w:pPr>
              <w:snapToGrid w:val="0"/>
              <w:rPr>
                <w:rFonts w:eastAsia="宋体"/>
                <w:sz w:val="18"/>
                <w:szCs w:val="18"/>
              </w:rPr>
            </w:pPr>
            <w:r>
              <w:rPr>
                <w:rFonts w:eastAsia="宋体" w:hint="eastAsia"/>
                <w:sz w:val="18"/>
                <w:szCs w:val="18"/>
              </w:rPr>
              <w:t>P</w:t>
            </w:r>
            <w:r>
              <w:rPr>
                <w:rFonts w:eastAsia="宋体"/>
                <w:sz w:val="18"/>
                <w:szCs w:val="18"/>
              </w:rPr>
              <w:t>ositioning</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69AA8062" w14:textId="77777777" w:rsidR="00AE5920" w:rsidRDefault="00AE5920" w:rsidP="00AE5920">
            <w:pPr>
              <w:snapToGrid w:val="0"/>
              <w:rPr>
                <w:rFonts w:eastAsia="宋体"/>
                <w:sz w:val="18"/>
                <w:szCs w:val="18"/>
              </w:rPr>
            </w:pPr>
            <w:r>
              <w:rPr>
                <w:rFonts w:eastAsia="宋体" w:hint="eastAsia"/>
                <w:sz w:val="18"/>
                <w:szCs w:val="18"/>
              </w:rPr>
              <w:t xml:space="preserve">Horizontal accuracy: </w:t>
            </w:r>
          </w:p>
          <w:p w14:paraId="4D0C2C35" w14:textId="77777777" w:rsidR="00AE5920" w:rsidRDefault="00AE5920" w:rsidP="00AE5920">
            <w:pPr>
              <w:snapToGrid w:val="0"/>
              <w:rPr>
                <w:rFonts w:eastAsia="宋体"/>
                <w:sz w:val="18"/>
                <w:szCs w:val="18"/>
              </w:rPr>
            </w:pPr>
            <w:r>
              <w:rPr>
                <w:rFonts w:eastAsia="宋体" w:hint="eastAsia"/>
                <w:sz w:val="18"/>
                <w:szCs w:val="18"/>
              </w:rPr>
              <w:t>I</w:t>
            </w:r>
            <w:r>
              <w:rPr>
                <w:rFonts w:eastAsia="宋体"/>
                <w:sz w:val="18"/>
                <w:szCs w:val="18"/>
              </w:rPr>
              <w:t>ndoor factory: 0.</w:t>
            </w:r>
            <w:r>
              <w:rPr>
                <w:rFonts w:eastAsia="宋体" w:hint="eastAsia"/>
                <w:sz w:val="18"/>
                <w:szCs w:val="18"/>
              </w:rPr>
              <w:t>2</w:t>
            </w:r>
            <w:r>
              <w:rPr>
                <w:rFonts w:eastAsia="宋体"/>
                <w:sz w:val="18"/>
                <w:szCs w:val="18"/>
              </w:rPr>
              <w:t>m-1m</w:t>
            </w:r>
          </w:p>
          <w:p w14:paraId="6708C9B7" w14:textId="77777777" w:rsidR="00AE5920" w:rsidRDefault="00AE5920" w:rsidP="00AE5920">
            <w:pPr>
              <w:snapToGrid w:val="0"/>
              <w:rPr>
                <w:rFonts w:eastAsia="宋体"/>
                <w:sz w:val="18"/>
                <w:szCs w:val="18"/>
              </w:rPr>
            </w:pPr>
            <w:r>
              <w:rPr>
                <w:rFonts w:eastAsia="宋体"/>
                <w:sz w:val="18"/>
                <w:szCs w:val="18"/>
              </w:rPr>
              <w:t>outdoor: 1m-3m</w:t>
            </w:r>
          </w:p>
          <w:p w14:paraId="572F50DD" w14:textId="77777777" w:rsidR="00AE5920" w:rsidRDefault="00AE5920" w:rsidP="00AE5920">
            <w:pPr>
              <w:snapToGrid w:val="0"/>
              <w:rPr>
                <w:rFonts w:eastAsia="宋体"/>
                <w:sz w:val="18"/>
                <w:szCs w:val="18"/>
              </w:rPr>
            </w:pPr>
            <w:r>
              <w:rPr>
                <w:rFonts w:eastAsia="宋体" w:hint="eastAsia"/>
                <w:sz w:val="18"/>
                <w:szCs w:val="18"/>
              </w:rPr>
              <w:t xml:space="preserve">Vertical accuracy: </w:t>
            </w:r>
          </w:p>
          <w:p w14:paraId="4D3E10E4" w14:textId="77777777" w:rsidR="00AE5920" w:rsidRDefault="00AE5920" w:rsidP="00AE5920">
            <w:pPr>
              <w:snapToGrid w:val="0"/>
              <w:rPr>
                <w:rFonts w:eastAsia="宋体"/>
                <w:sz w:val="18"/>
                <w:szCs w:val="18"/>
              </w:rPr>
            </w:pPr>
            <w:r>
              <w:rPr>
                <w:rFonts w:eastAsia="宋体" w:hint="eastAsia"/>
                <w:sz w:val="18"/>
                <w:szCs w:val="18"/>
              </w:rPr>
              <w:t>I</w:t>
            </w:r>
            <w:r>
              <w:rPr>
                <w:rFonts w:eastAsia="宋体"/>
                <w:sz w:val="18"/>
                <w:szCs w:val="18"/>
              </w:rPr>
              <w:t>ndoor factory: 1m</w:t>
            </w:r>
            <w:r>
              <w:rPr>
                <w:rFonts w:eastAsia="宋体" w:hint="eastAsia"/>
                <w:sz w:val="18"/>
                <w:szCs w:val="18"/>
              </w:rPr>
              <w:t xml:space="preserve"> - 3m</w:t>
            </w:r>
          </w:p>
          <w:p w14:paraId="0BD5F8E8" w14:textId="611AD62A" w:rsidR="000F77EA" w:rsidRDefault="00AE5920" w:rsidP="00AE5920">
            <w:pPr>
              <w:snapToGrid w:val="0"/>
              <w:rPr>
                <w:rFonts w:eastAsia="宋体"/>
                <w:sz w:val="18"/>
                <w:szCs w:val="18"/>
              </w:rPr>
            </w:pPr>
            <w:r>
              <w:rPr>
                <w:rFonts w:eastAsia="宋体"/>
                <w:sz w:val="18"/>
                <w:szCs w:val="18"/>
              </w:rPr>
              <w:t>outdoor: 3m</w:t>
            </w:r>
            <w:r>
              <w:rPr>
                <w:rFonts w:eastAsia="宋体" w:hint="eastAsia"/>
                <w:sz w:val="18"/>
                <w:szCs w:val="18"/>
              </w:rPr>
              <w:t xml:space="preserve"> - 5m</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2ABA8352" w14:textId="77777777" w:rsidR="000F77EA" w:rsidRDefault="00000000">
            <w:pPr>
              <w:snapToGrid w:val="0"/>
              <w:rPr>
                <w:rFonts w:eastAsia="宋体"/>
                <w:sz w:val="18"/>
                <w:szCs w:val="18"/>
              </w:rPr>
            </w:pPr>
            <w:r>
              <w:rPr>
                <w:rFonts w:eastAsia="宋体" w:hint="eastAsia"/>
                <w:sz w:val="18"/>
                <w:szCs w:val="18"/>
              </w:rPr>
              <w:t>R</w:t>
            </w:r>
            <w:r>
              <w:rPr>
                <w:rFonts w:eastAsia="宋体"/>
                <w:sz w:val="18"/>
                <w:szCs w:val="18"/>
              </w:rPr>
              <w:t>efer to TR 38.85</w:t>
            </w:r>
            <w:r>
              <w:rPr>
                <w:rFonts w:eastAsia="宋体" w:hint="eastAsia"/>
                <w:sz w:val="18"/>
                <w:szCs w:val="18"/>
              </w:rPr>
              <w:t>5,</w:t>
            </w:r>
            <w:r>
              <w:rPr>
                <w:rFonts w:eastAsia="宋体"/>
                <w:sz w:val="18"/>
                <w:szCs w:val="18"/>
              </w:rPr>
              <w:t xml:space="preserve"> TR</w:t>
            </w:r>
            <w:r>
              <w:rPr>
                <w:rFonts w:eastAsia="宋体" w:hint="eastAsia"/>
                <w:sz w:val="18"/>
                <w:szCs w:val="18"/>
              </w:rPr>
              <w:t xml:space="preserve"> 38.857</w:t>
            </w:r>
          </w:p>
        </w:tc>
        <w:tc>
          <w:tcPr>
            <w:tcW w:w="953" w:type="pct"/>
            <w:tcBorders>
              <w:top w:val="single" w:sz="6" w:space="0" w:color="auto"/>
              <w:left w:val="nil"/>
              <w:bottom w:val="single" w:sz="6" w:space="0" w:color="auto"/>
              <w:right w:val="single" w:sz="6" w:space="0" w:color="auto"/>
            </w:tcBorders>
            <w:shd w:val="clear" w:color="auto" w:fill="FFFFFF"/>
            <w:vAlign w:val="center"/>
          </w:tcPr>
          <w:p w14:paraId="504CAC9E" w14:textId="77777777" w:rsidR="000F77EA" w:rsidRDefault="00000000">
            <w:pPr>
              <w:snapToGrid w:val="0"/>
              <w:rPr>
                <w:rFonts w:eastAsia="宋体"/>
                <w:sz w:val="18"/>
                <w:szCs w:val="18"/>
              </w:rPr>
            </w:pPr>
            <w:r>
              <w:rPr>
                <w:rFonts w:eastAsia="宋体" w:hint="eastAsia"/>
                <w:sz w:val="18"/>
                <w:szCs w:val="18"/>
              </w:rPr>
              <w:t>/</w:t>
            </w:r>
          </w:p>
        </w:tc>
        <w:tc>
          <w:tcPr>
            <w:tcW w:w="951" w:type="pct"/>
            <w:tcBorders>
              <w:top w:val="single" w:sz="6" w:space="0" w:color="auto"/>
              <w:left w:val="nil"/>
              <w:bottom w:val="single" w:sz="6" w:space="0" w:color="auto"/>
              <w:right w:val="single" w:sz="6" w:space="0" w:color="auto"/>
            </w:tcBorders>
            <w:shd w:val="clear" w:color="auto" w:fill="FFFFFF"/>
          </w:tcPr>
          <w:p w14:paraId="2886FC59" w14:textId="77777777" w:rsidR="000F77EA" w:rsidRDefault="000F77EA">
            <w:pPr>
              <w:snapToGrid w:val="0"/>
              <w:rPr>
                <w:rFonts w:eastAsia="宋体"/>
                <w:sz w:val="18"/>
                <w:szCs w:val="18"/>
              </w:rPr>
            </w:pPr>
          </w:p>
        </w:tc>
      </w:tr>
    </w:tbl>
    <w:p w14:paraId="4F6F12D4" w14:textId="77777777" w:rsidR="000F77EA" w:rsidRDefault="00000000">
      <w:pPr>
        <w:spacing w:line="276" w:lineRule="auto"/>
        <w:rPr>
          <w:rFonts w:ascii="Times New Roman" w:hAnsi="Times New Roman" w:cs="Times New Roman"/>
        </w:rPr>
      </w:pPr>
      <w:r>
        <w:rPr>
          <w:rFonts w:ascii="Times New Roman" w:eastAsia="宋体" w:hAnsi="Times New Roman" w:cs="Times New Roman"/>
          <w:b/>
          <w:bCs/>
        </w:rPr>
        <w:t xml:space="preserve">Observation </w:t>
      </w:r>
      <w:r>
        <w:rPr>
          <w:rFonts w:ascii="Times New Roman" w:eastAsia="宋体" w:hAnsi="Times New Roman" w:cs="Times New Roman"/>
          <w:b/>
          <w:bCs/>
        </w:rPr>
        <w:fldChar w:fldCharType="begin"/>
      </w:r>
      <w:r>
        <w:rPr>
          <w:rFonts w:ascii="Times New Roman" w:eastAsia="宋体" w:hAnsi="Times New Roman" w:cs="Times New Roman"/>
          <w:b/>
          <w:bCs/>
        </w:rPr>
        <w:instrText xml:space="preserve"> SEQ Observation \* ARABIC </w:instrText>
      </w:r>
      <w:r>
        <w:rPr>
          <w:rFonts w:ascii="Times New Roman" w:eastAsia="宋体" w:hAnsi="Times New Roman" w:cs="Times New Roman"/>
          <w:b/>
          <w:bCs/>
        </w:rPr>
        <w:fldChar w:fldCharType="separate"/>
      </w:r>
      <w:r>
        <w:rPr>
          <w:rFonts w:ascii="Times New Roman" w:eastAsia="宋体" w:hAnsi="Times New Roman" w:cs="Times New Roman"/>
          <w:b/>
          <w:bCs/>
        </w:rPr>
        <w:t>1</w:t>
      </w:r>
      <w:r>
        <w:rPr>
          <w:rFonts w:ascii="Times New Roman" w:eastAsia="宋体" w:hAnsi="Times New Roman" w:cs="Times New Roman"/>
          <w:b/>
          <w:bCs/>
        </w:rPr>
        <w:fldChar w:fldCharType="end"/>
      </w:r>
      <w:r>
        <w:rPr>
          <w:rFonts w:ascii="Times New Roman" w:eastAsia="宋体" w:hAnsi="Times New Roman" w:cs="Times New Roman"/>
          <w:b/>
          <w:bCs/>
        </w:rPr>
        <w:t xml:space="preserve">: </w:t>
      </w:r>
      <w:r>
        <w:rPr>
          <w:rFonts w:ascii="Times New Roman" w:hAnsi="Times New Roman" w:cs="Times New Roman" w:hint="eastAsia"/>
        </w:rPr>
        <w:t>Defining moderately advanced TPR values for IMT-2030 helps to place the IMT industry in a better position to compete for spectrum with other RATs.</w:t>
      </w:r>
    </w:p>
    <w:p w14:paraId="73322122" w14:textId="77777777" w:rsidR="000F77EA" w:rsidRDefault="00000000">
      <w:pPr>
        <w:spacing w:line="276" w:lineRule="auto"/>
        <w:rPr>
          <w:rFonts w:ascii="Times New Roman" w:hAnsi="Times New Roman" w:cs="Times New Roman"/>
        </w:rPr>
      </w:pPr>
      <w:r>
        <w:rPr>
          <w:rFonts w:ascii="Times New Roman" w:eastAsia="宋体" w:hAnsi="Times New Roman" w:cs="Times New Roman"/>
          <w:b/>
          <w:bCs/>
        </w:rPr>
        <w:t xml:space="preserve">Observation </w:t>
      </w:r>
      <w:r>
        <w:rPr>
          <w:rFonts w:ascii="Times New Roman" w:eastAsia="宋体" w:hAnsi="Times New Roman" w:cs="Times New Roman"/>
          <w:b/>
          <w:bCs/>
        </w:rPr>
        <w:fldChar w:fldCharType="begin"/>
      </w:r>
      <w:r>
        <w:rPr>
          <w:rFonts w:ascii="Times New Roman" w:eastAsia="宋体" w:hAnsi="Times New Roman" w:cs="Times New Roman"/>
          <w:b/>
          <w:bCs/>
        </w:rPr>
        <w:instrText xml:space="preserve"> SEQ Observation \* ARABIC </w:instrText>
      </w:r>
      <w:r>
        <w:rPr>
          <w:rFonts w:ascii="Times New Roman" w:eastAsia="宋体" w:hAnsi="Times New Roman" w:cs="Times New Roman"/>
          <w:b/>
          <w:bCs/>
        </w:rPr>
        <w:fldChar w:fldCharType="separate"/>
      </w:r>
      <w:r>
        <w:rPr>
          <w:rFonts w:ascii="Times New Roman" w:eastAsia="宋体" w:hAnsi="Times New Roman" w:cs="Times New Roman"/>
          <w:b/>
          <w:bCs/>
        </w:rPr>
        <w:t>2</w:t>
      </w:r>
      <w:r>
        <w:rPr>
          <w:rFonts w:ascii="Times New Roman" w:eastAsia="宋体" w:hAnsi="Times New Roman" w:cs="Times New Roman"/>
          <w:b/>
          <w:bCs/>
        </w:rPr>
        <w:fldChar w:fldCharType="end"/>
      </w:r>
      <w:r>
        <w:rPr>
          <w:rFonts w:ascii="Times New Roman" w:eastAsia="宋体" w:hAnsi="Times New Roman" w:cs="Times New Roman"/>
          <w:b/>
          <w:bCs/>
        </w:rPr>
        <w:t xml:space="preserve">: </w:t>
      </w:r>
      <w:r>
        <w:rPr>
          <w:rFonts w:ascii="Times New Roman" w:hAnsi="Times New Roman" w:cs="Times New Roman" w:hint="eastAsia"/>
        </w:rPr>
        <w:t xml:space="preserve">According to TR 37.910 </w:t>
      </w:r>
      <w:r>
        <w:rPr>
          <w:rFonts w:ascii="Times New Roman" w:hAnsi="Times New Roman" w:cs="Times New Roman"/>
        </w:rPr>
        <w:t>“Study on self evaluation towards IMT-2020 submission”</w:t>
      </w:r>
      <w:r>
        <w:rPr>
          <w:rFonts w:ascii="Times New Roman" w:hAnsi="Times New Roman" w:cs="Times New Roman" w:hint="eastAsia"/>
        </w:rPr>
        <w:t xml:space="preserve">, many of the </w:t>
      </w:r>
      <w:r>
        <w:rPr>
          <w:rFonts w:ascii="Times New Roman" w:hAnsi="Times New Roman" w:cs="Times New Roman" w:hint="eastAsia"/>
        </w:rPr>
        <w:lastRenderedPageBreak/>
        <w:t>proposed IMT-2020 TPR target values are met by 3GPP NR technologies with a huge margin.</w:t>
      </w:r>
    </w:p>
    <w:p w14:paraId="652E188D" w14:textId="77777777" w:rsidR="000F77EA" w:rsidRDefault="00000000">
      <w:pPr>
        <w:spacing w:line="276" w:lineRule="auto"/>
        <w:rPr>
          <w:rFonts w:ascii="Times New Roman" w:hAnsi="Times New Roman" w:cs="Times New Roman"/>
          <w:b/>
        </w:rPr>
      </w:pPr>
      <w:r>
        <w:rPr>
          <w:rFonts w:ascii="Times New Roman" w:eastAsia="宋体" w:hAnsi="Times New Roman" w:cs="Times New Roman"/>
          <w:b/>
          <w:bCs/>
        </w:rPr>
        <w:t xml:space="preserve">Observation </w:t>
      </w:r>
      <w:r>
        <w:rPr>
          <w:rFonts w:ascii="Times New Roman" w:eastAsia="宋体" w:hAnsi="Times New Roman" w:cs="Times New Roman"/>
          <w:b/>
          <w:bCs/>
        </w:rPr>
        <w:fldChar w:fldCharType="begin"/>
      </w:r>
      <w:r>
        <w:rPr>
          <w:rFonts w:ascii="Times New Roman" w:eastAsia="宋体" w:hAnsi="Times New Roman" w:cs="Times New Roman"/>
          <w:b/>
          <w:bCs/>
        </w:rPr>
        <w:instrText xml:space="preserve"> SEQ Observation \* ARABIC </w:instrText>
      </w:r>
      <w:r>
        <w:rPr>
          <w:rFonts w:ascii="Times New Roman" w:eastAsia="宋体" w:hAnsi="Times New Roman" w:cs="Times New Roman"/>
          <w:b/>
          <w:bCs/>
        </w:rPr>
        <w:fldChar w:fldCharType="separate"/>
      </w:r>
      <w:r>
        <w:rPr>
          <w:rFonts w:ascii="Times New Roman" w:eastAsia="宋体" w:hAnsi="Times New Roman" w:cs="Times New Roman"/>
          <w:b/>
          <w:bCs/>
        </w:rPr>
        <w:t>3</w:t>
      </w:r>
      <w:r>
        <w:rPr>
          <w:rFonts w:ascii="Times New Roman" w:eastAsia="宋体" w:hAnsi="Times New Roman" w:cs="Times New Roman"/>
          <w:b/>
          <w:bCs/>
        </w:rPr>
        <w:fldChar w:fldCharType="end"/>
      </w:r>
      <w:r>
        <w:rPr>
          <w:rFonts w:ascii="Times New Roman" w:eastAsia="宋体" w:hAnsi="Times New Roman" w:cs="Times New Roman"/>
          <w:b/>
          <w:bCs/>
        </w:rPr>
        <w:t xml:space="preserve">: </w:t>
      </w:r>
      <w:r>
        <w:rPr>
          <w:rFonts w:ascii="Times New Roman" w:hAnsi="Times New Roman" w:cs="Times New Roman" w:hint="eastAsia"/>
          <w:bCs/>
        </w:rPr>
        <w:t xml:space="preserve">From </w:t>
      </w:r>
      <w:r>
        <w:rPr>
          <w:rFonts w:ascii="Times New Roman" w:hAnsi="Times New Roman" w:cs="Times New Roman" w:hint="eastAsia"/>
        </w:rPr>
        <w:t>ITU evaluation perspective, a technology proposal meets the requirement if any of a supported configuration meets the requirement.</w:t>
      </w:r>
    </w:p>
    <w:p w14:paraId="3470B529" w14:textId="77777777" w:rsidR="000F77EA" w:rsidRDefault="00000000">
      <w:pPr>
        <w:spacing w:line="276" w:lineRule="auto"/>
        <w:rPr>
          <w:rFonts w:ascii="Times New Roman" w:hAnsi="Times New Roman" w:cs="Times New Roman"/>
          <w:b/>
        </w:rPr>
      </w:pPr>
      <w:r>
        <w:rPr>
          <w:rFonts w:ascii="Times New Roman" w:eastAsia="宋体" w:hAnsi="Times New Roman" w:cs="Times New Roman"/>
          <w:b/>
          <w:bCs/>
        </w:rPr>
        <w:t xml:space="preserve">Observation </w:t>
      </w:r>
      <w:r>
        <w:rPr>
          <w:rFonts w:ascii="Times New Roman" w:eastAsia="宋体" w:hAnsi="Times New Roman" w:cs="Times New Roman"/>
          <w:b/>
          <w:bCs/>
        </w:rPr>
        <w:fldChar w:fldCharType="begin"/>
      </w:r>
      <w:r>
        <w:rPr>
          <w:rFonts w:ascii="Times New Roman" w:eastAsia="宋体" w:hAnsi="Times New Roman" w:cs="Times New Roman"/>
          <w:b/>
          <w:bCs/>
        </w:rPr>
        <w:instrText xml:space="preserve"> SEQ Observation \* ARABIC </w:instrText>
      </w:r>
      <w:r>
        <w:rPr>
          <w:rFonts w:ascii="Times New Roman" w:eastAsia="宋体" w:hAnsi="Times New Roman" w:cs="Times New Roman"/>
          <w:b/>
          <w:bCs/>
        </w:rPr>
        <w:fldChar w:fldCharType="separate"/>
      </w:r>
      <w:r>
        <w:rPr>
          <w:rFonts w:ascii="Times New Roman" w:eastAsia="宋体" w:hAnsi="Times New Roman" w:cs="Times New Roman"/>
          <w:b/>
          <w:bCs/>
        </w:rPr>
        <w:t>4</w:t>
      </w:r>
      <w:r>
        <w:rPr>
          <w:rFonts w:ascii="Times New Roman" w:eastAsia="宋体" w:hAnsi="Times New Roman" w:cs="Times New Roman"/>
          <w:b/>
          <w:bCs/>
        </w:rPr>
        <w:fldChar w:fldCharType="end"/>
      </w:r>
      <w:r>
        <w:rPr>
          <w:rFonts w:ascii="Times New Roman" w:eastAsia="宋体" w:hAnsi="Times New Roman" w:cs="Times New Roman"/>
          <w:b/>
          <w:bCs/>
        </w:rPr>
        <w:t xml:space="preserve">: </w:t>
      </w:r>
      <w:r>
        <w:rPr>
          <w:rFonts w:ascii="Times New Roman" w:hAnsi="Times New Roman" w:cs="Times New Roman" w:hint="eastAsia"/>
          <w:bCs/>
        </w:rPr>
        <w:t xml:space="preserve">The </w:t>
      </w:r>
      <w:r>
        <w:rPr>
          <w:rFonts w:ascii="Times New Roman" w:hAnsi="Times New Roman" w:cs="Times New Roman" w:hint="eastAsia"/>
        </w:rPr>
        <w:t xml:space="preserve">ITU </w:t>
      </w:r>
      <w:r>
        <w:rPr>
          <w:rFonts w:ascii="Times New Roman" w:hAnsi="Times New Roman" w:cs="Times New Roman"/>
        </w:rPr>
        <w:t>‘</w:t>
      </w:r>
      <w:r>
        <w:rPr>
          <w:rFonts w:ascii="Times New Roman" w:hAnsi="Times New Roman" w:cs="Times New Roman" w:hint="eastAsia"/>
        </w:rPr>
        <w:t>minimum</w:t>
      </w:r>
      <w:r>
        <w:rPr>
          <w:rFonts w:ascii="Times New Roman" w:hAnsi="Times New Roman" w:cs="Times New Roman"/>
        </w:rPr>
        <w:t>’</w:t>
      </w:r>
      <w:r>
        <w:rPr>
          <w:rFonts w:ascii="Times New Roman" w:hAnsi="Times New Roman" w:cs="Times New Roman" w:hint="eastAsia"/>
        </w:rPr>
        <w:t xml:space="preserve"> TPR can be met by using any of the configuration supported by a technology, or, equivalently, the configuration resulting the best performance.</w:t>
      </w:r>
    </w:p>
    <w:p w14:paraId="62E2BADD" w14:textId="77777777" w:rsidR="000F77EA" w:rsidRDefault="00000000">
      <w:pPr>
        <w:adjustRightInd w:val="0"/>
        <w:snapToGrid w:val="0"/>
        <w:spacing w:before="180" w:after="120" w:line="276"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REF _Ref24003456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b/>
        </w:rPr>
        <w:t xml:space="preserve">Proposal 3: </w:t>
      </w:r>
      <w:r>
        <w:rPr>
          <w:rFonts w:ascii="Times New Roman" w:hAnsi="Times New Roman" w:cs="Times New Roman" w:hint="eastAsia"/>
          <w:b/>
        </w:rPr>
        <w:t>Consider up to 16 UE Rx for device types such as CPEs at 7 GHz for evaluations, which will be future proof and make 3GPP terrestrial specifications competitive enough for IMT-2030.</w:t>
      </w:r>
      <w:r>
        <w:rPr>
          <w:rFonts w:ascii="Times New Roman" w:hAnsi="Times New Roman" w:cs="Times New Roman"/>
        </w:rPr>
        <w:fldChar w:fldCharType="end"/>
      </w:r>
    </w:p>
    <w:p w14:paraId="2F278960" w14:textId="77777777" w:rsidR="000F77EA" w:rsidRDefault="00000000">
      <w:pPr>
        <w:adjustRightInd w:val="0"/>
        <w:snapToGrid w:val="0"/>
        <w:spacing w:before="180" w:after="120" w:line="276" w:lineRule="auto"/>
        <w:rPr>
          <w:rFonts w:ascii="Times New Roman" w:hAnsi="Times New Roman" w:cs="Times New Roman"/>
        </w:rPr>
      </w:pPr>
      <w:r>
        <w:rPr>
          <w:rFonts w:ascii="Times New Roman" w:eastAsia="宋体" w:hAnsi="Times New Roman" w:cs="Times New Roman"/>
          <w:b/>
          <w:bCs/>
        </w:rPr>
        <w:t xml:space="preserve">Observation </w:t>
      </w:r>
      <w:r>
        <w:rPr>
          <w:rFonts w:ascii="Times New Roman" w:eastAsia="宋体" w:hAnsi="Times New Roman" w:cs="Times New Roman"/>
          <w:b/>
          <w:bCs/>
        </w:rPr>
        <w:fldChar w:fldCharType="begin"/>
      </w:r>
      <w:r>
        <w:rPr>
          <w:rFonts w:ascii="Times New Roman" w:eastAsia="宋体" w:hAnsi="Times New Roman" w:cs="Times New Roman"/>
          <w:b/>
          <w:bCs/>
        </w:rPr>
        <w:instrText xml:space="preserve"> SEQ Observation \* ARABIC </w:instrText>
      </w:r>
      <w:r>
        <w:rPr>
          <w:rFonts w:ascii="Times New Roman" w:eastAsia="宋体" w:hAnsi="Times New Roman" w:cs="Times New Roman"/>
          <w:b/>
          <w:bCs/>
        </w:rPr>
        <w:fldChar w:fldCharType="separate"/>
      </w:r>
      <w:r>
        <w:rPr>
          <w:rFonts w:ascii="Times New Roman" w:eastAsia="宋体" w:hAnsi="Times New Roman" w:cs="Times New Roman"/>
          <w:b/>
          <w:bCs/>
        </w:rPr>
        <w:t>5</w:t>
      </w:r>
      <w:r>
        <w:rPr>
          <w:rFonts w:ascii="Times New Roman" w:eastAsia="宋体" w:hAnsi="Times New Roman" w:cs="Times New Roman"/>
          <w:b/>
          <w:bCs/>
        </w:rPr>
        <w:fldChar w:fldCharType="end"/>
      </w:r>
      <w:r>
        <w:rPr>
          <w:rFonts w:ascii="Times New Roman" w:eastAsia="宋体" w:hAnsi="Times New Roman" w:cs="Times New Roman"/>
          <w:b/>
          <w:bCs/>
        </w:rPr>
        <w:t xml:space="preserve">: </w:t>
      </w:r>
      <w:r>
        <w:rPr>
          <w:rFonts w:ascii="Times New Roman" w:hAnsi="Times New Roman" w:cs="Times New Roman" w:hint="eastAsia"/>
          <w:bCs/>
        </w:rPr>
        <w:t>According to the ITU discussions, no one proposed to remove Configuration A (4 GHz and 8 UE Rx) from the list of configurations, and thus, 8 UE Rx will likely remain a valid configuration under 4 GHz</w:t>
      </w:r>
      <w:r>
        <w:rPr>
          <w:rFonts w:ascii="Times New Roman" w:hAnsi="Times New Roman" w:cs="Times New Roman" w:hint="eastAsia"/>
        </w:rPr>
        <w:t>.</w:t>
      </w:r>
    </w:p>
    <w:p w14:paraId="1ACE0098" w14:textId="77777777" w:rsidR="000F77EA" w:rsidRDefault="00000000">
      <w:pPr>
        <w:pStyle w:val="1"/>
        <w:numPr>
          <w:ilvl w:val="0"/>
          <w:numId w:val="2"/>
        </w:numPr>
        <w:spacing w:line="276" w:lineRule="auto"/>
        <w:rPr>
          <w:rFonts w:cs="Arial"/>
          <w:szCs w:val="22"/>
        </w:rPr>
      </w:pPr>
      <w:r>
        <w:rPr>
          <w:rFonts w:cs="Arial"/>
          <w:szCs w:val="22"/>
        </w:rPr>
        <w:t>References</w:t>
      </w:r>
    </w:p>
    <w:p w14:paraId="6BF97D17" w14:textId="77777777" w:rsidR="000F77EA" w:rsidRDefault="00000000">
      <w:pPr>
        <w:numPr>
          <w:ilvl w:val="0"/>
          <w:numId w:val="7"/>
        </w:numPr>
        <w:spacing w:line="276" w:lineRule="auto"/>
        <w:rPr>
          <w:rFonts w:ascii="Times New Roman" w:hAnsi="Times New Roman" w:cs="Times New Roman"/>
          <w:lang w:eastAsia="en-US"/>
        </w:rPr>
      </w:pPr>
      <w:r>
        <w:rPr>
          <w:rFonts w:ascii="Times New Roman" w:hAnsi="Times New Roman" w:cs="Times New Roman"/>
          <w:bCs/>
          <w:lang w:eastAsia="en-US"/>
        </w:rPr>
        <w:t>RP-240823 Additional Considerations for 6G Timeline Source: TSG Chairs</w:t>
      </w:r>
    </w:p>
    <w:p w14:paraId="5D40CC32" w14:textId="77777777" w:rsidR="000F77EA" w:rsidRDefault="00000000">
      <w:pPr>
        <w:numPr>
          <w:ilvl w:val="0"/>
          <w:numId w:val="7"/>
        </w:numPr>
        <w:spacing w:line="276" w:lineRule="auto"/>
        <w:rPr>
          <w:rFonts w:ascii="Times New Roman" w:hAnsi="Times New Roman" w:cs="Times New Roman"/>
          <w:lang w:eastAsia="en-US"/>
        </w:rPr>
      </w:pPr>
      <w:r>
        <w:rPr>
          <w:rFonts w:ascii="Times New Roman" w:hAnsi="Times New Roman" w:cs="Times New Roman"/>
          <w:bCs/>
          <w:lang w:eastAsia="en-US"/>
        </w:rPr>
        <w:t>RP-</w:t>
      </w:r>
      <w:r>
        <w:rPr>
          <w:rFonts w:ascii="Times New Roman" w:hAnsi="Times New Roman" w:cs="Times New Roman" w:hint="eastAsia"/>
          <w:bCs/>
          <w:lang w:eastAsia="en-US"/>
        </w:rPr>
        <w:t>250810</w:t>
      </w:r>
      <w:r>
        <w:rPr>
          <w:rFonts w:ascii="Times New Roman" w:hAnsi="Times New Roman" w:cs="Times New Roman"/>
          <w:bCs/>
          <w:lang w:eastAsia="en-US"/>
        </w:rPr>
        <w:t xml:space="preserve"> “Revised SID: Study on 6G Scenarios and requirements”, CMCC, Verizon, NTT DOCOMO, INC., Deutsche Telekom</w:t>
      </w:r>
    </w:p>
    <w:p w14:paraId="19E68949" w14:textId="77777777" w:rsidR="000F77EA" w:rsidRDefault="00000000">
      <w:pPr>
        <w:numPr>
          <w:ilvl w:val="0"/>
          <w:numId w:val="7"/>
        </w:numPr>
        <w:spacing w:line="276" w:lineRule="auto"/>
        <w:rPr>
          <w:rFonts w:ascii="Times New Roman" w:hAnsi="Times New Roman" w:cs="Times New Roman"/>
          <w:lang w:eastAsia="en-US"/>
        </w:rPr>
      </w:pPr>
      <w:r>
        <w:rPr>
          <w:rFonts w:ascii="Times New Roman" w:hAnsi="Times New Roman" w:cs="Times New Roman"/>
          <w:bCs/>
          <w:lang w:eastAsia="en-US"/>
        </w:rPr>
        <w:t>RP-243202</w:t>
      </w:r>
      <w:r>
        <w:rPr>
          <w:rFonts w:ascii="Times New Roman" w:hAnsi="Times New Roman" w:cs="Times New Roman"/>
          <w:bCs/>
          <w:lang w:eastAsia="en-US"/>
        </w:rPr>
        <w:tab/>
        <w:t>Liaison Statement to External Organizations Minimum requirements related to technical performance for IMT-2030 radio interface(s), source ITU-R WP5D, 3GPP TSG#106, December 2024</w:t>
      </w:r>
    </w:p>
    <w:p w14:paraId="3C2D774F" w14:textId="77777777" w:rsidR="000F77EA" w:rsidRDefault="00000000">
      <w:pPr>
        <w:numPr>
          <w:ilvl w:val="0"/>
          <w:numId w:val="7"/>
        </w:numPr>
        <w:spacing w:line="276" w:lineRule="auto"/>
        <w:rPr>
          <w:rFonts w:ascii="Times New Roman" w:hAnsi="Times New Roman" w:cs="Times New Roman"/>
          <w:lang w:eastAsia="en-US"/>
        </w:rPr>
      </w:pPr>
      <w:r>
        <w:rPr>
          <w:rFonts w:ascii="Times New Roman" w:hAnsi="Times New Roman" w:cs="Times New Roman" w:hint="eastAsia"/>
          <w:lang w:eastAsia="en-US"/>
        </w:rPr>
        <w:t>I</w:t>
      </w:r>
      <w:r>
        <w:rPr>
          <w:rFonts w:ascii="Times New Roman" w:hAnsi="Times New Roman" w:cs="Times New Roman"/>
          <w:lang w:eastAsia="en-US"/>
        </w:rPr>
        <w:t>TU-R WP5D 563 Report on the 48th meeting of Working Party 5D (Geneva, 4-13 February 2025) Chair, WP 5D</w:t>
      </w:r>
    </w:p>
    <w:p w14:paraId="3746D79C" w14:textId="77777777" w:rsidR="000F77EA" w:rsidRDefault="00000000">
      <w:pPr>
        <w:numPr>
          <w:ilvl w:val="0"/>
          <w:numId w:val="7"/>
        </w:numPr>
        <w:spacing w:line="276" w:lineRule="auto"/>
        <w:rPr>
          <w:rFonts w:ascii="Times New Roman" w:hAnsi="Times New Roman" w:cs="Times New Roman"/>
          <w:lang w:eastAsia="en-US"/>
        </w:rPr>
      </w:pPr>
      <w:r>
        <w:rPr>
          <w:rFonts w:ascii="Times New Roman" w:hAnsi="Times New Roman" w:cs="Times New Roman" w:hint="eastAsia"/>
        </w:rPr>
        <w:t xml:space="preserve">3GPP RAN, TR 37.910, </w:t>
      </w:r>
      <w:r>
        <w:rPr>
          <w:rFonts w:ascii="Times New Roman" w:hAnsi="Times New Roman" w:cs="Times New Roman"/>
        </w:rPr>
        <w:t>“</w:t>
      </w:r>
      <w:r>
        <w:rPr>
          <w:rFonts w:ascii="Times New Roman" w:hAnsi="Times New Roman" w:cs="Times New Roman"/>
          <w:lang w:eastAsia="en-US"/>
        </w:rPr>
        <w:t>Study on self evaluation towards IMT-2020 submission</w:t>
      </w:r>
      <w:r>
        <w:rPr>
          <w:rFonts w:ascii="Times New Roman" w:hAnsi="Times New Roman" w:cs="Times New Roman"/>
        </w:rPr>
        <w:t>”</w:t>
      </w:r>
    </w:p>
    <w:p w14:paraId="33CA4135" w14:textId="77777777" w:rsidR="000F77EA" w:rsidRDefault="00000000">
      <w:pPr>
        <w:numPr>
          <w:ilvl w:val="0"/>
          <w:numId w:val="7"/>
        </w:numPr>
        <w:spacing w:line="276" w:lineRule="auto"/>
        <w:rPr>
          <w:rFonts w:ascii="Times New Roman" w:hAnsi="Times New Roman" w:cs="Times New Roman"/>
          <w:lang w:eastAsia="en-US"/>
        </w:rPr>
      </w:pPr>
      <w:bookmarkStart w:id="8" w:name="_Ref196123671"/>
      <w:r>
        <w:rPr>
          <w:rFonts w:ascii="Times New Roman" w:hAnsi="Times New Roman" w:cs="Times New Roman"/>
          <w:lang w:eastAsia="en-US"/>
        </w:rPr>
        <w:t>R. Liu, L. Zhang, R. Y.-N. Li, and M. D. Renzo, “The ITU Vision</w:t>
      </w:r>
      <w:r>
        <w:rPr>
          <w:rFonts w:ascii="Times New Roman" w:hAnsi="Times New Roman" w:cs="Times New Roman" w:hint="eastAsia"/>
        </w:rPr>
        <w:t xml:space="preserve"> </w:t>
      </w:r>
      <w:r>
        <w:rPr>
          <w:rFonts w:ascii="Times New Roman" w:hAnsi="Times New Roman" w:cs="Times New Roman"/>
          <w:lang w:eastAsia="en-US"/>
        </w:rPr>
        <w:t>and Framework for 6G: Scenarios, Capabilities, and Enablers,” IEEE</w:t>
      </w:r>
      <w:r>
        <w:rPr>
          <w:rFonts w:ascii="Times New Roman" w:hAnsi="Times New Roman" w:cs="Times New Roman" w:hint="eastAsia"/>
        </w:rPr>
        <w:t xml:space="preserve"> </w:t>
      </w:r>
      <w:r>
        <w:rPr>
          <w:rFonts w:ascii="Times New Roman" w:hAnsi="Times New Roman" w:cs="Times New Roman"/>
          <w:lang w:eastAsia="en-US"/>
        </w:rPr>
        <w:t>Vehicular Technology Magazine, pp. 2–10, 2025.</w:t>
      </w:r>
      <w:bookmarkStart w:id="9" w:name="_Ref195537571"/>
      <w:bookmarkEnd w:id="8"/>
    </w:p>
    <w:p w14:paraId="7134574E" w14:textId="77777777" w:rsidR="000F77EA" w:rsidRDefault="00000000">
      <w:pPr>
        <w:numPr>
          <w:ilvl w:val="0"/>
          <w:numId w:val="7"/>
        </w:numPr>
        <w:spacing w:line="276" w:lineRule="auto"/>
        <w:rPr>
          <w:rFonts w:ascii="Times New Roman" w:hAnsi="Times New Roman" w:cs="Times New Roman"/>
          <w:lang w:eastAsia="en-US"/>
        </w:rPr>
      </w:pPr>
      <w:r>
        <w:rPr>
          <w:rFonts w:ascii="Times New Roman" w:hAnsi="Times New Roman" w:cs="Times New Roman"/>
          <w:lang w:eastAsia="en-US"/>
        </w:rPr>
        <w:t>R. Liu, Q. Wu, M. Di Renzo, and Y. Yuan, “A path to smart radio</w:t>
      </w:r>
      <w:r>
        <w:rPr>
          <w:rFonts w:ascii="Times New Roman" w:hAnsi="Times New Roman" w:cs="Times New Roman" w:hint="eastAsia"/>
        </w:rPr>
        <w:t xml:space="preserve"> </w:t>
      </w:r>
      <w:r>
        <w:rPr>
          <w:rFonts w:ascii="Times New Roman" w:hAnsi="Times New Roman" w:cs="Times New Roman"/>
          <w:lang w:eastAsia="en-US"/>
        </w:rPr>
        <w:t>environments: An industrial viewpoint on reconfigurable intelligent</w:t>
      </w:r>
      <w:r>
        <w:rPr>
          <w:rFonts w:ascii="Times New Roman" w:hAnsi="Times New Roman" w:cs="Times New Roman" w:hint="eastAsia"/>
        </w:rPr>
        <w:t xml:space="preserve"> </w:t>
      </w:r>
      <w:r>
        <w:rPr>
          <w:rFonts w:ascii="Times New Roman" w:hAnsi="Times New Roman" w:cs="Times New Roman"/>
          <w:lang w:eastAsia="en-US"/>
        </w:rPr>
        <w:t>surfaces,” IEEE Wireless Communications, vol. 29, no. 1, pp. 202–208,</w:t>
      </w:r>
      <w:r>
        <w:rPr>
          <w:rFonts w:ascii="Times New Roman" w:hAnsi="Times New Roman" w:cs="Times New Roman" w:hint="eastAsia"/>
        </w:rPr>
        <w:t xml:space="preserve"> </w:t>
      </w:r>
      <w:r>
        <w:rPr>
          <w:rFonts w:ascii="Times New Roman" w:hAnsi="Times New Roman" w:cs="Times New Roman"/>
          <w:lang w:eastAsia="en-US"/>
        </w:rPr>
        <w:t>2022.</w:t>
      </w:r>
      <w:bookmarkStart w:id="10" w:name="_Ref195537496"/>
      <w:bookmarkEnd w:id="9"/>
    </w:p>
    <w:p w14:paraId="00064F5D" w14:textId="77777777" w:rsidR="000F77EA" w:rsidRDefault="00000000">
      <w:pPr>
        <w:numPr>
          <w:ilvl w:val="0"/>
          <w:numId w:val="7"/>
        </w:numPr>
        <w:spacing w:line="276" w:lineRule="auto"/>
        <w:rPr>
          <w:rFonts w:ascii="Times New Roman" w:hAnsi="Times New Roman" w:cs="Times New Roman"/>
          <w:lang w:eastAsia="en-US"/>
        </w:rPr>
      </w:pPr>
      <w:bookmarkStart w:id="11" w:name="_Ref195537597"/>
      <w:r>
        <w:rPr>
          <w:rFonts w:ascii="Times New Roman" w:hAnsi="Times New Roman" w:cs="Times New Roman"/>
          <w:lang w:eastAsia="en-US"/>
        </w:rPr>
        <w:t>R. Liu, J. Dou, P. Li, J. Wu, and Y. Cui, “Simulation and field trial results</w:t>
      </w:r>
      <w:r>
        <w:rPr>
          <w:rFonts w:ascii="Times New Roman" w:hAnsi="Times New Roman" w:cs="Times New Roman" w:hint="eastAsia"/>
        </w:rPr>
        <w:t xml:space="preserve"> </w:t>
      </w:r>
      <w:r>
        <w:rPr>
          <w:rFonts w:ascii="Times New Roman" w:hAnsi="Times New Roman" w:cs="Times New Roman"/>
          <w:lang w:eastAsia="en-US"/>
        </w:rPr>
        <w:t>of reconfigurable intelligent surfaces in 5G networks,” IEEE Access,</w:t>
      </w:r>
      <w:r>
        <w:rPr>
          <w:rFonts w:ascii="Times New Roman" w:hAnsi="Times New Roman" w:cs="Times New Roman" w:hint="eastAsia"/>
        </w:rPr>
        <w:t xml:space="preserve"> </w:t>
      </w:r>
      <w:r>
        <w:rPr>
          <w:rFonts w:ascii="Times New Roman" w:hAnsi="Times New Roman" w:cs="Times New Roman"/>
          <w:lang w:eastAsia="en-US"/>
        </w:rPr>
        <w:t>vol. 10, pp. 122 786–122 795, 2022.</w:t>
      </w:r>
      <w:bookmarkEnd w:id="10"/>
      <w:bookmarkEnd w:id="11"/>
    </w:p>
    <w:p w14:paraId="0D1F585D" w14:textId="77777777" w:rsidR="000F77EA" w:rsidRDefault="00000000">
      <w:pPr>
        <w:numPr>
          <w:ilvl w:val="0"/>
          <w:numId w:val="7"/>
        </w:numPr>
        <w:spacing w:line="276" w:lineRule="auto"/>
        <w:rPr>
          <w:rFonts w:ascii="Times New Roman" w:hAnsi="Times New Roman" w:cs="Times New Roman"/>
          <w:lang w:eastAsia="en-US"/>
        </w:rPr>
      </w:pPr>
      <w:bookmarkStart w:id="12" w:name="_Ref195724928"/>
      <w:r>
        <w:rPr>
          <w:rFonts w:ascii="Times New Roman" w:hAnsi="Times New Roman" w:cs="Times New Roman"/>
          <w:lang w:eastAsia="en-US"/>
        </w:rPr>
        <w:t>C. Huang, "Reconfigurable Intelligent Surfaces for Energy Efficiency in Wireless Communication," IEEE Transactions on Wireless Communications, vol. 18, pp. 4157-4170, Aug. 2019.</w:t>
      </w:r>
      <w:bookmarkEnd w:id="12"/>
    </w:p>
    <w:p w14:paraId="068D9665" w14:textId="77777777" w:rsidR="000F77EA" w:rsidRDefault="00000000">
      <w:pPr>
        <w:numPr>
          <w:ilvl w:val="0"/>
          <w:numId w:val="7"/>
        </w:numPr>
        <w:spacing w:line="276" w:lineRule="auto"/>
        <w:rPr>
          <w:rFonts w:ascii="Times New Roman" w:hAnsi="Times New Roman" w:cs="Times New Roman"/>
          <w:lang w:eastAsia="en-US"/>
        </w:rPr>
      </w:pPr>
      <w:bookmarkStart w:id="13" w:name="_Ref195879845"/>
      <w:r>
        <w:rPr>
          <w:rFonts w:ascii="Times New Roman" w:hAnsi="Times New Roman" w:cs="Times New Roman" w:hint="eastAsia"/>
        </w:rPr>
        <w:t xml:space="preserve">RP-250819 </w:t>
      </w:r>
      <w:r>
        <w:rPr>
          <w:rFonts w:ascii="Times New Roman" w:hAnsi="Times New Roman" w:cs="Times New Roman"/>
        </w:rPr>
        <w:t>Moderator's summary for IMT-2030 TPRs</w:t>
      </w:r>
      <w:r>
        <w:rPr>
          <w:rFonts w:ascii="Times New Roman" w:hAnsi="Times New Roman" w:cs="Times New Roman" w:hint="eastAsia"/>
        </w:rPr>
        <w:t xml:space="preserve">, </w:t>
      </w:r>
      <w:r>
        <w:rPr>
          <w:rFonts w:ascii="Times New Roman" w:hAnsi="Times New Roman" w:cs="Times New Roman"/>
        </w:rPr>
        <w:t>Moderator (CMCC)</w:t>
      </w:r>
      <w:bookmarkEnd w:id="13"/>
    </w:p>
    <w:p w14:paraId="00CF6114" w14:textId="77777777" w:rsidR="000F77EA" w:rsidRDefault="00000000">
      <w:pPr>
        <w:numPr>
          <w:ilvl w:val="0"/>
          <w:numId w:val="7"/>
        </w:numPr>
        <w:spacing w:line="276" w:lineRule="auto"/>
        <w:rPr>
          <w:rFonts w:ascii="Times New Roman" w:hAnsi="Times New Roman" w:cs="Times New Roman"/>
          <w:lang w:eastAsia="en-US"/>
        </w:rPr>
      </w:pPr>
      <w:bookmarkStart w:id="14" w:name="_Ref195880377"/>
      <w:r>
        <w:rPr>
          <w:rFonts w:ascii="Times New Roman" w:hAnsi="Times New Roman" w:cs="Times New Roman" w:hint="eastAsia"/>
        </w:rPr>
        <w:t xml:space="preserve">Report ITU-R M.2412-0 </w:t>
      </w:r>
      <w:r>
        <w:rPr>
          <w:rFonts w:ascii="Times New Roman" w:hAnsi="Times New Roman" w:cs="Times New Roman"/>
        </w:rPr>
        <w:t>“Guidelines for evaluation of radio interface technologies for IMT-2020”</w:t>
      </w:r>
      <w:bookmarkEnd w:id="14"/>
    </w:p>
    <w:p w14:paraId="2ECBE905" w14:textId="77777777" w:rsidR="000F77EA" w:rsidRDefault="00000000">
      <w:pPr>
        <w:numPr>
          <w:ilvl w:val="0"/>
          <w:numId w:val="7"/>
        </w:numPr>
        <w:spacing w:line="276" w:lineRule="auto"/>
        <w:rPr>
          <w:rFonts w:ascii="Times New Roman" w:hAnsi="Times New Roman" w:cs="Times New Roman"/>
          <w:color w:val="0D0D0D"/>
        </w:rPr>
      </w:pPr>
      <w:bookmarkStart w:id="15" w:name="_Ref196123901"/>
      <w:r>
        <w:rPr>
          <w:rFonts w:ascii="Times New Roman" w:hAnsi="Times New Roman" w:cs="Times New Roman" w:hint="eastAsia"/>
        </w:rPr>
        <w:t xml:space="preserve">3GPP SA1, TR 22.870, </w:t>
      </w:r>
      <w:r>
        <w:rPr>
          <w:rFonts w:ascii="Times New Roman" w:hAnsi="Times New Roman" w:cs="Times New Roman"/>
        </w:rPr>
        <w:t>“Study on 6G Use Cases and Service Requirements”</w:t>
      </w:r>
      <w:bookmarkEnd w:id="15"/>
    </w:p>
    <w:p w14:paraId="5FB7214D" w14:textId="77777777" w:rsidR="000F77EA" w:rsidRDefault="00000000">
      <w:pPr>
        <w:pStyle w:val="1"/>
        <w:numPr>
          <w:ilvl w:val="0"/>
          <w:numId w:val="2"/>
        </w:numPr>
        <w:spacing w:line="276" w:lineRule="auto"/>
        <w:rPr>
          <w:rFonts w:cs="Arial"/>
          <w:szCs w:val="22"/>
          <w:lang w:eastAsia="zh-CN"/>
        </w:rPr>
      </w:pPr>
      <w:r>
        <w:rPr>
          <w:rFonts w:cs="Arial"/>
          <w:szCs w:val="22"/>
        </w:rPr>
        <w:t>Appendix: preliminary simulation</w:t>
      </w:r>
      <w:r>
        <w:rPr>
          <w:rFonts w:cs="Arial" w:hint="eastAsia"/>
          <w:szCs w:val="22"/>
          <w:lang w:eastAsia="zh-CN"/>
        </w:rPr>
        <w:t xml:space="preserve"> results</w:t>
      </w:r>
    </w:p>
    <w:p w14:paraId="0F857ADA" w14:textId="77777777" w:rsidR="000F77EA" w:rsidRDefault="00000000">
      <w:pPr>
        <w:snapToGrid w:val="0"/>
        <w:outlineLvl w:val="1"/>
        <w:rPr>
          <w:bCs/>
          <w:u w:val="single"/>
        </w:rPr>
      </w:pPr>
      <w:r>
        <w:rPr>
          <w:bCs/>
          <w:u w:val="single"/>
        </w:rPr>
        <w:t>Composite requirement</w:t>
      </w:r>
    </w:p>
    <w:p w14:paraId="0EC6C056" w14:textId="77777777" w:rsidR="000F77EA" w:rsidRDefault="00000000">
      <w:pPr>
        <w:snapToGrid w:val="0"/>
        <w:spacing w:after="120"/>
        <w:rPr>
          <w:rFonts w:eastAsia="宋体"/>
          <w:bCs/>
        </w:rPr>
      </w:pPr>
      <w:r>
        <w:rPr>
          <w:rFonts w:hint="eastAsia"/>
          <w:bCs/>
        </w:rPr>
        <w:t xml:space="preserve">For the value </w:t>
      </w:r>
      <w:r>
        <w:rPr>
          <w:bCs/>
        </w:rPr>
        <w:t>of composite requirement for immersive communication</w:t>
      </w:r>
      <w:r>
        <w:rPr>
          <w:rFonts w:hint="eastAsia"/>
          <w:bCs/>
        </w:rPr>
        <w:t>, we provide some candidate values shown as follows</w:t>
      </w:r>
      <w:r>
        <w:rPr>
          <w:bCs/>
        </w:rPr>
        <w:t>:</w:t>
      </w:r>
    </w:p>
    <w:p w14:paraId="79CD4D20" w14:textId="77777777" w:rsidR="000F77EA" w:rsidRDefault="00000000">
      <w:pPr>
        <w:pStyle w:val="afa"/>
        <w:widowControl/>
        <w:numPr>
          <w:ilvl w:val="0"/>
          <w:numId w:val="8"/>
        </w:numPr>
        <w:snapToGrid w:val="0"/>
        <w:spacing w:after="120"/>
        <w:contextualSpacing w:val="0"/>
        <w:rPr>
          <w:bCs/>
        </w:rPr>
      </w:pPr>
      <w:r>
        <w:rPr>
          <w:bCs/>
        </w:rPr>
        <w:t>For test environment of Dense Urban-IC, the DL capacity can be 70Gbits/s/km</w:t>
      </w:r>
      <w:r>
        <w:rPr>
          <w:bCs/>
          <w:vertAlign w:val="superscript"/>
        </w:rPr>
        <w:t>2</w:t>
      </w:r>
      <w:r>
        <w:rPr>
          <w:bCs/>
        </w:rPr>
        <w:t>.</w:t>
      </w:r>
    </w:p>
    <w:p w14:paraId="5414B312" w14:textId="77777777" w:rsidR="000F77EA" w:rsidRDefault="00000000">
      <w:pPr>
        <w:pStyle w:val="afa"/>
        <w:widowControl/>
        <w:numPr>
          <w:ilvl w:val="0"/>
          <w:numId w:val="8"/>
        </w:numPr>
        <w:snapToGrid w:val="0"/>
        <w:spacing w:after="120"/>
        <w:contextualSpacing w:val="0"/>
        <w:rPr>
          <w:bCs/>
        </w:rPr>
      </w:pPr>
      <w:r>
        <w:rPr>
          <w:rFonts w:hint="eastAsia"/>
          <w:bCs/>
        </w:rPr>
        <w:t>F</w:t>
      </w:r>
      <w:r>
        <w:rPr>
          <w:bCs/>
        </w:rPr>
        <w:t>or test environment of Urban Macro-IC, the DL capacity is 10G bits/s/km</w:t>
      </w:r>
      <w:r>
        <w:rPr>
          <w:bCs/>
          <w:vertAlign w:val="superscript"/>
        </w:rPr>
        <w:t>2</w:t>
      </w:r>
    </w:p>
    <w:p w14:paraId="3926897D" w14:textId="77777777" w:rsidR="000F77EA" w:rsidRDefault="00000000">
      <w:pPr>
        <w:pStyle w:val="afa"/>
        <w:widowControl/>
        <w:numPr>
          <w:ilvl w:val="1"/>
          <w:numId w:val="8"/>
        </w:numPr>
        <w:snapToGrid w:val="0"/>
        <w:spacing w:after="120"/>
        <w:contextualSpacing w:val="0"/>
        <w:rPr>
          <w:bCs/>
        </w:rPr>
      </w:pPr>
      <w:r>
        <w:rPr>
          <w:bCs/>
        </w:rPr>
        <w:t>Traffic model: Video: 45Mbps@60FPS, PER=99%, PDB = 10ms; Haptic: 10 sensors, fixed 100 Byte per sensor, PER = 99.9%, PDB=5ms, pareto distribution arrival</w:t>
      </w:r>
    </w:p>
    <w:p w14:paraId="167552FC" w14:textId="77777777" w:rsidR="000F77EA" w:rsidRDefault="00000000">
      <w:pPr>
        <w:snapToGrid w:val="0"/>
      </w:pPr>
      <w:r>
        <w:rPr>
          <w:rFonts w:hint="eastAsia"/>
        </w:rPr>
        <w:t xml:space="preserve">For DL </w:t>
      </w:r>
      <w:r>
        <w:t>composite requirement</w:t>
      </w:r>
      <w:r>
        <w:rPr>
          <w:rFonts w:hint="eastAsia"/>
        </w:rPr>
        <w:t xml:space="preserve"> in test environment U</w:t>
      </w:r>
      <w:r>
        <w:rPr>
          <w:rFonts w:eastAsia="宋体" w:hint="eastAsia"/>
        </w:rPr>
        <w:t>M</w:t>
      </w:r>
      <w:r>
        <w:rPr>
          <w:rFonts w:hint="eastAsia"/>
        </w:rPr>
        <w:t>a-IC, we provide the following statistics of transmitted XR packet sizes and service time for each XR packet, respectively.</w:t>
      </w:r>
    </w:p>
    <w:tbl>
      <w:tblPr>
        <w:tblStyle w:val="af5"/>
        <w:tblW w:w="0" w:type="auto"/>
        <w:tblLook w:val="04A0" w:firstRow="1" w:lastRow="0" w:firstColumn="1" w:lastColumn="0" w:noHBand="0" w:noVBand="1"/>
      </w:tblPr>
      <w:tblGrid>
        <w:gridCol w:w="4927"/>
        <w:gridCol w:w="4928"/>
      </w:tblGrid>
      <w:tr w:rsidR="000F77EA" w14:paraId="17CF9B2F" w14:textId="77777777">
        <w:tc>
          <w:tcPr>
            <w:tcW w:w="4927" w:type="dxa"/>
            <w:tcBorders>
              <w:top w:val="single" w:sz="4" w:space="0" w:color="auto"/>
              <w:left w:val="single" w:sz="4" w:space="0" w:color="auto"/>
              <w:bottom w:val="single" w:sz="4" w:space="0" w:color="auto"/>
              <w:right w:val="single" w:sz="4" w:space="0" w:color="auto"/>
            </w:tcBorders>
          </w:tcPr>
          <w:p w14:paraId="2DFD4778" w14:textId="77777777" w:rsidR="000F77EA" w:rsidRDefault="00000000">
            <w:pPr>
              <w:snapToGrid w:val="0"/>
              <w:rPr>
                <w:rFonts w:ascii="CG Times" w:hAnsi="CG Times"/>
                <w:lang w:eastAsia="en-US"/>
              </w:rPr>
            </w:pPr>
            <w:r>
              <w:lastRenderedPageBreak/>
              <w:t xml:space="preserve"> </w:t>
            </w:r>
            <w:r>
              <w:rPr>
                <w:noProof/>
              </w:rPr>
              <w:drawing>
                <wp:inline distT="0" distB="0" distL="0" distR="0" wp14:anchorId="39255E7F" wp14:editId="69A711DD">
                  <wp:extent cx="2879725" cy="2159635"/>
                  <wp:effectExtent l="0" t="0" r="0" b="1206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879725" cy="2159635"/>
                          </a:xfrm>
                          <a:prstGeom prst="rect">
                            <a:avLst/>
                          </a:prstGeom>
                          <a:noFill/>
                          <a:ln>
                            <a:noFill/>
                          </a:ln>
                        </pic:spPr>
                      </pic:pic>
                    </a:graphicData>
                  </a:graphic>
                </wp:inline>
              </w:drawing>
            </w:r>
          </w:p>
        </w:tc>
        <w:tc>
          <w:tcPr>
            <w:tcW w:w="4928" w:type="dxa"/>
            <w:tcBorders>
              <w:top w:val="single" w:sz="4" w:space="0" w:color="auto"/>
              <w:left w:val="single" w:sz="4" w:space="0" w:color="auto"/>
              <w:bottom w:val="single" w:sz="4" w:space="0" w:color="auto"/>
              <w:right w:val="single" w:sz="4" w:space="0" w:color="auto"/>
            </w:tcBorders>
          </w:tcPr>
          <w:p w14:paraId="68AB89BA" w14:textId="77777777" w:rsidR="000F77EA" w:rsidRDefault="00000000">
            <w:pPr>
              <w:snapToGrid w:val="0"/>
              <w:rPr>
                <w:rFonts w:ascii="CG Times" w:hAnsi="CG Times"/>
                <w:lang w:eastAsia="en-US"/>
              </w:rPr>
            </w:pPr>
            <w:r>
              <w:rPr>
                <w:noProof/>
              </w:rPr>
              <w:drawing>
                <wp:inline distT="0" distB="0" distL="0" distR="0" wp14:anchorId="4965426C" wp14:editId="4CB1FBBB">
                  <wp:extent cx="2880995" cy="2160270"/>
                  <wp:effectExtent l="0" t="0" r="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cstate="print"/>
                          <a:stretch>
                            <a:fillRect/>
                          </a:stretch>
                        </pic:blipFill>
                        <pic:spPr>
                          <a:xfrm>
                            <a:off x="0" y="0"/>
                            <a:ext cx="2880995" cy="2160270"/>
                          </a:xfrm>
                          <a:prstGeom prst="rect">
                            <a:avLst/>
                          </a:prstGeom>
                          <a:noFill/>
                          <a:ln>
                            <a:noFill/>
                          </a:ln>
                        </pic:spPr>
                      </pic:pic>
                    </a:graphicData>
                  </a:graphic>
                </wp:inline>
              </w:drawing>
            </w:r>
          </w:p>
        </w:tc>
      </w:tr>
      <w:tr w:rsidR="000F77EA" w14:paraId="77000983" w14:textId="77777777">
        <w:tc>
          <w:tcPr>
            <w:tcW w:w="4927" w:type="dxa"/>
            <w:tcBorders>
              <w:top w:val="single" w:sz="4" w:space="0" w:color="auto"/>
              <w:left w:val="single" w:sz="4" w:space="0" w:color="auto"/>
              <w:bottom w:val="single" w:sz="4" w:space="0" w:color="auto"/>
              <w:right w:val="single" w:sz="4" w:space="0" w:color="auto"/>
            </w:tcBorders>
          </w:tcPr>
          <w:p w14:paraId="12812229" w14:textId="77777777" w:rsidR="000F77EA" w:rsidRDefault="00000000">
            <w:pPr>
              <w:snapToGrid w:val="0"/>
              <w:jc w:val="center"/>
            </w:pPr>
            <w:r>
              <w:rPr>
                <w:rFonts w:hint="eastAsia"/>
              </w:rPr>
              <w:t>Figure a) transmitted XR packet sizes</w:t>
            </w:r>
          </w:p>
        </w:tc>
        <w:tc>
          <w:tcPr>
            <w:tcW w:w="4928" w:type="dxa"/>
            <w:tcBorders>
              <w:top w:val="single" w:sz="4" w:space="0" w:color="auto"/>
              <w:left w:val="single" w:sz="4" w:space="0" w:color="auto"/>
              <w:bottom w:val="single" w:sz="4" w:space="0" w:color="auto"/>
              <w:right w:val="single" w:sz="4" w:space="0" w:color="auto"/>
            </w:tcBorders>
          </w:tcPr>
          <w:p w14:paraId="7F082854" w14:textId="77777777" w:rsidR="000F77EA" w:rsidRDefault="00000000">
            <w:pPr>
              <w:snapToGrid w:val="0"/>
              <w:jc w:val="center"/>
            </w:pPr>
            <w:r>
              <w:rPr>
                <w:rFonts w:hint="eastAsia"/>
              </w:rPr>
              <w:t>Figure b) service time for each packet</w:t>
            </w:r>
          </w:p>
        </w:tc>
      </w:tr>
    </w:tbl>
    <w:p w14:paraId="5779CF1D" w14:textId="77777777" w:rsidR="000F77EA" w:rsidRDefault="00000000">
      <w:pPr>
        <w:snapToGrid w:val="0"/>
      </w:pPr>
      <w:r>
        <w:rPr>
          <w:rFonts w:hint="eastAsia"/>
        </w:rPr>
        <w:t>Th</w:t>
      </w:r>
      <w:r>
        <w:t>e candidate value of capacity in composite requirement can be calculated by:</w:t>
      </w:r>
    </w:p>
    <w:p w14:paraId="770B745B" w14:textId="77777777" w:rsidR="000F77EA" w:rsidRDefault="00000000">
      <w:pPr>
        <w:snapToGrid w:val="0"/>
      </w:pPr>
      <w:r>
        <w:t>(Average transmitted XR packet size / average service time for each packet / A) * UE density</w:t>
      </w:r>
      <w:r>
        <w:rPr>
          <w:rFonts w:hint="eastAsia"/>
        </w:rPr>
        <w:t>,</w:t>
      </w:r>
      <w:r>
        <w:t xml:space="preserve"> </w:t>
      </w:r>
    </w:p>
    <w:p w14:paraId="0D7BCBAF" w14:textId="77777777" w:rsidR="000F77EA" w:rsidRDefault="00000000">
      <w:pPr>
        <w:snapToGrid w:val="0"/>
      </w:pPr>
      <w:r>
        <w:t>where average transmitted XR packet size can be obtained in Figure a), average service time for each packet can be obtained in Figure b). UE density is average 5 UE per cell</w:t>
      </w:r>
    </w:p>
    <w:p w14:paraId="6141BF88" w14:textId="77777777" w:rsidR="000F77EA" w:rsidRDefault="000F77EA">
      <w:pPr>
        <w:snapToGrid w:val="0"/>
      </w:pPr>
    </w:p>
    <w:p w14:paraId="325D9EC5" w14:textId="77777777" w:rsidR="000F77EA" w:rsidRDefault="00000000">
      <w:pPr>
        <w:snapToGrid w:val="0"/>
        <w:outlineLvl w:val="1"/>
        <w:rPr>
          <w:bCs/>
          <w:u w:val="single"/>
        </w:rPr>
      </w:pPr>
      <w:r>
        <w:rPr>
          <w:bCs/>
          <w:u w:val="single"/>
        </w:rPr>
        <w:t>Sensing</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4"/>
      </w:tblGrid>
      <w:tr w:rsidR="000F77EA" w14:paraId="6EA5BC3F" w14:textId="77777777">
        <w:tc>
          <w:tcPr>
            <w:tcW w:w="4264" w:type="dxa"/>
          </w:tcPr>
          <w:p w14:paraId="4CA0C7A7" w14:textId="77777777" w:rsidR="000F77EA" w:rsidRDefault="00000000">
            <w:pPr>
              <w:snapToGrid w:val="0"/>
              <w:spacing w:after="120"/>
              <w:jc w:val="center"/>
              <w:rPr>
                <w:rFonts w:eastAsia="宋体"/>
              </w:rPr>
            </w:pPr>
            <w:r>
              <w:rPr>
                <w:rFonts w:eastAsia="宋体"/>
              </w:rPr>
              <w:t>Sensing mode</w:t>
            </w:r>
          </w:p>
        </w:tc>
        <w:tc>
          <w:tcPr>
            <w:tcW w:w="4264" w:type="dxa"/>
          </w:tcPr>
          <w:p w14:paraId="4F183493" w14:textId="77777777" w:rsidR="000F77EA" w:rsidRDefault="00000000">
            <w:pPr>
              <w:snapToGrid w:val="0"/>
              <w:spacing w:after="120"/>
              <w:jc w:val="center"/>
            </w:pPr>
            <w:r>
              <w:t>TRP monostatic</w:t>
            </w:r>
          </w:p>
        </w:tc>
      </w:tr>
      <w:tr w:rsidR="000F77EA" w14:paraId="6FDCAD38" w14:textId="77777777">
        <w:tc>
          <w:tcPr>
            <w:tcW w:w="4264" w:type="dxa"/>
          </w:tcPr>
          <w:p w14:paraId="6733BCB6" w14:textId="77777777" w:rsidR="000F77EA" w:rsidRDefault="00000000">
            <w:pPr>
              <w:snapToGrid w:val="0"/>
              <w:spacing w:after="120"/>
              <w:jc w:val="center"/>
            </w:pPr>
            <w:r>
              <w:t>Carrier frequency</w:t>
            </w:r>
          </w:p>
        </w:tc>
        <w:tc>
          <w:tcPr>
            <w:tcW w:w="4264" w:type="dxa"/>
          </w:tcPr>
          <w:p w14:paraId="46DB8DD3" w14:textId="77777777" w:rsidR="000F77EA" w:rsidRDefault="00000000">
            <w:pPr>
              <w:snapToGrid w:val="0"/>
              <w:spacing w:after="120"/>
              <w:jc w:val="center"/>
            </w:pPr>
            <w:r>
              <w:rPr>
                <w:rFonts w:hint="eastAsia"/>
              </w:rPr>
              <w:t>6GHz</w:t>
            </w:r>
          </w:p>
        </w:tc>
      </w:tr>
      <w:tr w:rsidR="000F77EA" w14:paraId="67062772" w14:textId="77777777">
        <w:tc>
          <w:tcPr>
            <w:tcW w:w="4264" w:type="dxa"/>
          </w:tcPr>
          <w:p w14:paraId="7FEE27D0" w14:textId="77777777" w:rsidR="000F77EA" w:rsidRDefault="00000000">
            <w:pPr>
              <w:snapToGrid w:val="0"/>
              <w:spacing w:after="120"/>
              <w:jc w:val="center"/>
            </w:pPr>
            <w:r>
              <w:rPr>
                <w:rFonts w:hint="eastAsia"/>
              </w:rPr>
              <w:t>b</w:t>
            </w:r>
            <w:r>
              <w:t>andwidth</w:t>
            </w:r>
          </w:p>
        </w:tc>
        <w:tc>
          <w:tcPr>
            <w:tcW w:w="4264" w:type="dxa"/>
          </w:tcPr>
          <w:p w14:paraId="6E7A5B1C" w14:textId="77777777" w:rsidR="000F77EA" w:rsidRDefault="00000000">
            <w:pPr>
              <w:snapToGrid w:val="0"/>
              <w:spacing w:after="120"/>
              <w:jc w:val="center"/>
            </w:pPr>
            <w:r>
              <w:rPr>
                <w:rFonts w:hint="eastAsia"/>
              </w:rPr>
              <w:t>100 MHz</w:t>
            </w:r>
          </w:p>
        </w:tc>
      </w:tr>
      <w:tr w:rsidR="000F77EA" w14:paraId="17A18636" w14:textId="77777777">
        <w:tc>
          <w:tcPr>
            <w:tcW w:w="4264" w:type="dxa"/>
          </w:tcPr>
          <w:p w14:paraId="72243E5E" w14:textId="77777777" w:rsidR="000F77EA" w:rsidRDefault="00000000">
            <w:pPr>
              <w:snapToGrid w:val="0"/>
              <w:spacing w:after="120"/>
              <w:jc w:val="center"/>
            </w:pPr>
            <w:r>
              <w:rPr>
                <w:rFonts w:hint="eastAsia"/>
              </w:rPr>
              <w:t>S</w:t>
            </w:r>
            <w:r>
              <w:t>CS</w:t>
            </w:r>
          </w:p>
        </w:tc>
        <w:tc>
          <w:tcPr>
            <w:tcW w:w="4264" w:type="dxa"/>
          </w:tcPr>
          <w:p w14:paraId="737982F2" w14:textId="77777777" w:rsidR="000F77EA" w:rsidRDefault="00000000">
            <w:pPr>
              <w:snapToGrid w:val="0"/>
              <w:spacing w:after="120"/>
              <w:jc w:val="center"/>
            </w:pPr>
            <w:r>
              <w:rPr>
                <w:rFonts w:hint="eastAsia"/>
              </w:rPr>
              <w:t>30kHz</w:t>
            </w:r>
          </w:p>
        </w:tc>
      </w:tr>
      <w:tr w:rsidR="000F77EA" w14:paraId="240E61FA" w14:textId="77777777">
        <w:tc>
          <w:tcPr>
            <w:tcW w:w="4264" w:type="dxa"/>
          </w:tcPr>
          <w:p w14:paraId="2AA688AE" w14:textId="77777777" w:rsidR="000F77EA" w:rsidRDefault="00000000">
            <w:pPr>
              <w:snapToGrid w:val="0"/>
              <w:spacing w:after="120"/>
              <w:jc w:val="center"/>
            </w:pPr>
            <w:r>
              <w:rPr>
                <w:rFonts w:hint="eastAsia"/>
              </w:rPr>
              <w:t>B</w:t>
            </w:r>
            <w:r>
              <w:t>S Tx power</w:t>
            </w:r>
          </w:p>
        </w:tc>
        <w:tc>
          <w:tcPr>
            <w:tcW w:w="4264" w:type="dxa"/>
          </w:tcPr>
          <w:p w14:paraId="51D6447D" w14:textId="77777777" w:rsidR="000F77EA" w:rsidRDefault="00000000">
            <w:pPr>
              <w:snapToGrid w:val="0"/>
              <w:spacing w:after="120"/>
              <w:jc w:val="center"/>
            </w:pPr>
            <w:r>
              <w:rPr>
                <w:rFonts w:hint="eastAsia"/>
              </w:rPr>
              <w:t>49 dBm</w:t>
            </w:r>
          </w:p>
        </w:tc>
      </w:tr>
      <w:tr w:rsidR="000F77EA" w14:paraId="22CC7BB8" w14:textId="77777777">
        <w:trPr>
          <w:trHeight w:val="90"/>
        </w:trPr>
        <w:tc>
          <w:tcPr>
            <w:tcW w:w="4264" w:type="dxa"/>
          </w:tcPr>
          <w:p w14:paraId="56D1833E" w14:textId="77777777" w:rsidR="000F77EA" w:rsidRDefault="00000000">
            <w:pPr>
              <w:snapToGrid w:val="0"/>
              <w:spacing w:after="120"/>
              <w:jc w:val="center"/>
            </w:pPr>
            <w:r>
              <w:t>BS antenna configuration</w:t>
            </w:r>
          </w:p>
        </w:tc>
        <w:tc>
          <w:tcPr>
            <w:tcW w:w="4264" w:type="dxa"/>
          </w:tcPr>
          <w:p w14:paraId="3EA4D00B" w14:textId="77777777" w:rsidR="000F77EA" w:rsidRDefault="00000000">
            <w:pPr>
              <w:snapToGrid w:val="0"/>
              <w:spacing w:after="120"/>
              <w:jc w:val="center"/>
              <w:rPr>
                <w:rFonts w:eastAsia="MS UI Gothic"/>
                <w:lang w:eastAsia="ja-JP"/>
              </w:rPr>
            </w:pPr>
            <w:r>
              <w:rPr>
                <w:rFonts w:eastAsia="MS UI Gothic"/>
                <w:lang w:eastAsia="ja-JP"/>
              </w:rPr>
              <w:t xml:space="preserve"> (M,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 = (</w:t>
            </w:r>
            <w:r>
              <w:rPr>
                <w:rFonts w:hint="eastAsia"/>
              </w:rPr>
              <w:t>16</w:t>
            </w:r>
            <w:r>
              <w:rPr>
                <w:rFonts w:eastAsia="MS UI Gothic"/>
                <w:lang w:eastAsia="ja-JP"/>
              </w:rPr>
              <w:t xml:space="preserve">, </w:t>
            </w:r>
            <w:r>
              <w:rPr>
                <w:rFonts w:hint="eastAsia"/>
              </w:rPr>
              <w:t>16</w:t>
            </w:r>
            <w:r>
              <w:rPr>
                <w:rFonts w:eastAsia="MS UI Gothic"/>
                <w:lang w:eastAsia="ja-JP"/>
              </w:rPr>
              <w:t>, 2, 1, 1),</w:t>
            </w:r>
          </w:p>
          <w:p w14:paraId="53CE0CC3" w14:textId="77777777" w:rsidR="000F77EA" w:rsidRDefault="00000000">
            <w:pPr>
              <w:snapToGrid w:val="0"/>
              <w:spacing w:after="120"/>
              <w:jc w:val="center"/>
              <w:rPr>
                <w:rFonts w:eastAsia="MS UI Gothic"/>
                <w:lang w:eastAsia="ja-JP"/>
              </w:rPr>
            </w:pPr>
            <w:r>
              <w:rPr>
                <w:rFonts w:eastAsia="MS UI Gothic"/>
                <w:lang w:eastAsia="ja-JP"/>
              </w:rPr>
              <w:t xml:space="preserve"> d</w:t>
            </w:r>
            <w:r>
              <w:rPr>
                <w:rFonts w:eastAsia="MS UI Gothic"/>
                <w:vertAlign w:val="subscript"/>
                <w:lang w:eastAsia="ja-JP"/>
              </w:rPr>
              <w:t>H</w:t>
            </w:r>
            <w:r>
              <w:rPr>
                <w:rFonts w:eastAsia="MS UI Gothic"/>
                <w:lang w:eastAsia="ja-JP"/>
              </w:rPr>
              <w:t xml:space="preserve"> =</w:t>
            </w:r>
            <w:r>
              <w:rPr>
                <w:rFonts w:hint="eastAsia"/>
              </w:rPr>
              <w:t xml:space="preserve"> </w:t>
            </w:r>
            <w:r>
              <w:rPr>
                <w:rFonts w:eastAsia="MS UI Gothic"/>
                <w:lang w:eastAsia="ja-JP"/>
              </w:rPr>
              <w:t>0.5 λ</w:t>
            </w:r>
            <w:r>
              <w:rPr>
                <w:rFonts w:hint="eastAsia"/>
              </w:rPr>
              <w:t>，</w:t>
            </w:r>
            <w:r>
              <w:rPr>
                <w:rFonts w:eastAsia="MS UI Gothic"/>
                <w:lang w:eastAsia="ja-JP"/>
              </w:rPr>
              <w:t>d</w:t>
            </w:r>
            <w:r>
              <w:rPr>
                <w:rFonts w:eastAsia="MS UI Gothic"/>
                <w:vertAlign w:val="subscript"/>
                <w:lang w:eastAsia="ja-JP"/>
              </w:rPr>
              <w:t>V</w:t>
            </w:r>
            <w:r>
              <w:rPr>
                <w:rFonts w:eastAsia="MS UI Gothic"/>
                <w:lang w:eastAsia="ja-JP"/>
              </w:rPr>
              <w:t xml:space="preserve"> = 0.</w:t>
            </w:r>
            <w:r>
              <w:rPr>
                <w:rFonts w:hint="eastAsia"/>
              </w:rPr>
              <w:t xml:space="preserve">5 </w:t>
            </w:r>
            <w:r>
              <w:rPr>
                <w:rFonts w:eastAsia="MS UI Gothic"/>
                <w:lang w:eastAsia="ja-JP"/>
              </w:rPr>
              <w:t>λ</w:t>
            </w:r>
          </w:p>
        </w:tc>
      </w:tr>
      <w:tr w:rsidR="000F77EA" w14:paraId="59EBD847" w14:textId="77777777">
        <w:tc>
          <w:tcPr>
            <w:tcW w:w="4264" w:type="dxa"/>
          </w:tcPr>
          <w:p w14:paraId="19B30462" w14:textId="77777777" w:rsidR="000F77EA" w:rsidRDefault="00000000">
            <w:pPr>
              <w:snapToGrid w:val="0"/>
              <w:spacing w:after="120"/>
              <w:jc w:val="center"/>
            </w:pPr>
            <w:r>
              <w:rPr>
                <w:rFonts w:hint="eastAsia"/>
              </w:rPr>
              <w:t>B</w:t>
            </w:r>
            <w:r>
              <w:t>S height</w:t>
            </w:r>
          </w:p>
        </w:tc>
        <w:tc>
          <w:tcPr>
            <w:tcW w:w="4264" w:type="dxa"/>
          </w:tcPr>
          <w:p w14:paraId="03BBE278" w14:textId="77777777" w:rsidR="000F77EA" w:rsidRDefault="00000000">
            <w:pPr>
              <w:snapToGrid w:val="0"/>
              <w:spacing w:after="120"/>
              <w:jc w:val="center"/>
            </w:pPr>
            <w:r>
              <w:rPr>
                <w:rFonts w:hint="eastAsia"/>
              </w:rPr>
              <w:t>35m</w:t>
            </w:r>
          </w:p>
        </w:tc>
      </w:tr>
      <w:tr w:rsidR="000F77EA" w14:paraId="7C37D21C" w14:textId="77777777">
        <w:tc>
          <w:tcPr>
            <w:tcW w:w="4264" w:type="dxa"/>
          </w:tcPr>
          <w:p w14:paraId="47D50EF5" w14:textId="77777777" w:rsidR="000F77EA" w:rsidRDefault="00000000">
            <w:pPr>
              <w:snapToGrid w:val="0"/>
              <w:spacing w:after="120"/>
              <w:jc w:val="center"/>
            </w:pPr>
            <w:r>
              <w:rPr>
                <w:rFonts w:hint="eastAsia"/>
              </w:rPr>
              <w:t>B</w:t>
            </w:r>
            <w:r>
              <w:t>S noise figure</w:t>
            </w:r>
          </w:p>
        </w:tc>
        <w:tc>
          <w:tcPr>
            <w:tcW w:w="4264" w:type="dxa"/>
          </w:tcPr>
          <w:p w14:paraId="53ABADCF" w14:textId="77777777" w:rsidR="000F77EA" w:rsidRDefault="00000000">
            <w:pPr>
              <w:snapToGrid w:val="0"/>
              <w:spacing w:after="120"/>
              <w:jc w:val="center"/>
            </w:pPr>
            <w:r>
              <w:rPr>
                <w:rFonts w:hint="eastAsia"/>
              </w:rPr>
              <w:t>5 dBi</w:t>
            </w:r>
          </w:p>
        </w:tc>
      </w:tr>
      <w:tr w:rsidR="000F77EA" w14:paraId="6F0C6A19" w14:textId="77777777">
        <w:tc>
          <w:tcPr>
            <w:tcW w:w="4264" w:type="dxa"/>
          </w:tcPr>
          <w:p w14:paraId="04847C4E" w14:textId="77777777" w:rsidR="000F77EA" w:rsidRDefault="00000000">
            <w:pPr>
              <w:snapToGrid w:val="0"/>
              <w:spacing w:after="120"/>
              <w:jc w:val="center"/>
            </w:pPr>
            <w:r>
              <w:rPr>
                <w:rFonts w:hint="eastAsia"/>
              </w:rPr>
              <w:t>T</w:t>
            </w:r>
            <w:r>
              <w:t>hermal noise</w:t>
            </w:r>
          </w:p>
        </w:tc>
        <w:tc>
          <w:tcPr>
            <w:tcW w:w="4264" w:type="dxa"/>
          </w:tcPr>
          <w:p w14:paraId="69A160D3" w14:textId="77777777" w:rsidR="000F77EA" w:rsidRDefault="00000000">
            <w:pPr>
              <w:snapToGrid w:val="0"/>
              <w:spacing w:after="120"/>
              <w:jc w:val="center"/>
            </w:pPr>
            <w:r>
              <w:rPr>
                <w:rFonts w:hint="eastAsia"/>
              </w:rPr>
              <w:t>-174dBm/Hz</w:t>
            </w:r>
          </w:p>
        </w:tc>
      </w:tr>
      <w:tr w:rsidR="000F77EA" w14:paraId="0577E596" w14:textId="77777777">
        <w:tc>
          <w:tcPr>
            <w:tcW w:w="4264" w:type="dxa"/>
          </w:tcPr>
          <w:p w14:paraId="4A4F2D0E" w14:textId="77777777" w:rsidR="000F77EA" w:rsidRDefault="00000000">
            <w:pPr>
              <w:snapToGrid w:val="0"/>
              <w:spacing w:after="120"/>
              <w:jc w:val="center"/>
            </w:pPr>
            <w:r>
              <w:rPr>
                <w:rFonts w:hint="eastAsia"/>
              </w:rPr>
              <w:t>U</w:t>
            </w:r>
            <w:r>
              <w:t>AV height (sensing target)</w:t>
            </w:r>
          </w:p>
        </w:tc>
        <w:tc>
          <w:tcPr>
            <w:tcW w:w="4264" w:type="dxa"/>
          </w:tcPr>
          <w:p w14:paraId="5A80422F" w14:textId="77777777" w:rsidR="000F77EA" w:rsidRDefault="00000000">
            <w:pPr>
              <w:snapToGrid w:val="0"/>
              <w:spacing w:after="120"/>
              <w:jc w:val="center"/>
            </w:pPr>
            <w:r>
              <w:rPr>
                <w:rFonts w:hint="eastAsia"/>
              </w:rPr>
              <w:t>200m</w:t>
            </w:r>
          </w:p>
        </w:tc>
      </w:tr>
      <w:tr w:rsidR="000F77EA" w14:paraId="70114837" w14:textId="77777777">
        <w:tc>
          <w:tcPr>
            <w:tcW w:w="4264" w:type="dxa"/>
          </w:tcPr>
          <w:p w14:paraId="63AF5D2B" w14:textId="77777777" w:rsidR="000F77EA" w:rsidRDefault="00000000">
            <w:pPr>
              <w:snapToGrid w:val="0"/>
              <w:spacing w:after="120"/>
              <w:jc w:val="center"/>
            </w:pPr>
            <w:r>
              <w:rPr>
                <w:rFonts w:hint="eastAsia"/>
              </w:rPr>
              <w:t>U</w:t>
            </w:r>
            <w:r>
              <w:t>AV velocity</w:t>
            </w:r>
          </w:p>
        </w:tc>
        <w:tc>
          <w:tcPr>
            <w:tcW w:w="4264" w:type="dxa"/>
          </w:tcPr>
          <w:p w14:paraId="599624DE" w14:textId="77777777" w:rsidR="000F77EA" w:rsidRDefault="00000000">
            <w:pPr>
              <w:snapToGrid w:val="0"/>
              <w:spacing w:after="120"/>
              <w:jc w:val="center"/>
            </w:pPr>
            <w:r>
              <w:rPr>
                <w:rFonts w:hint="eastAsia"/>
              </w:rPr>
              <w:t xml:space="preserve">0-60km/h </w:t>
            </w:r>
            <w:r>
              <w:t xml:space="preserve">uniform in horizontal </w:t>
            </w:r>
          </w:p>
        </w:tc>
      </w:tr>
      <w:tr w:rsidR="000F77EA" w14:paraId="2B6EBAD8" w14:textId="77777777">
        <w:tc>
          <w:tcPr>
            <w:tcW w:w="4264" w:type="dxa"/>
          </w:tcPr>
          <w:p w14:paraId="620C5193" w14:textId="77777777" w:rsidR="000F77EA" w:rsidRDefault="00000000">
            <w:pPr>
              <w:snapToGrid w:val="0"/>
              <w:spacing w:after="120"/>
              <w:jc w:val="center"/>
            </w:pPr>
            <w:r>
              <w:rPr>
                <w:rFonts w:hint="eastAsia"/>
              </w:rPr>
              <w:t>U</w:t>
            </w:r>
            <w:r>
              <w:t>AV distribution</w:t>
            </w:r>
          </w:p>
        </w:tc>
        <w:tc>
          <w:tcPr>
            <w:tcW w:w="4264" w:type="dxa"/>
          </w:tcPr>
          <w:p w14:paraId="0DA26E50" w14:textId="77777777" w:rsidR="000F77EA" w:rsidRDefault="00000000">
            <w:pPr>
              <w:snapToGrid w:val="0"/>
              <w:spacing w:after="120"/>
              <w:jc w:val="center"/>
            </w:pPr>
            <w:r>
              <w:rPr>
                <w:rFonts w:hint="eastAsia"/>
              </w:rPr>
              <w:t>5</w:t>
            </w:r>
            <w:r>
              <w:t xml:space="preserve"> targets in center sector</w:t>
            </w:r>
          </w:p>
        </w:tc>
      </w:tr>
      <w:tr w:rsidR="000F77EA" w14:paraId="5AF9333E" w14:textId="77777777">
        <w:tc>
          <w:tcPr>
            <w:tcW w:w="4264" w:type="dxa"/>
          </w:tcPr>
          <w:p w14:paraId="5202CAC2" w14:textId="77777777" w:rsidR="000F77EA" w:rsidRDefault="00000000">
            <w:pPr>
              <w:snapToGrid w:val="0"/>
              <w:spacing w:after="120"/>
              <w:jc w:val="center"/>
            </w:pPr>
            <w:r>
              <w:t>Number of Drops</w:t>
            </w:r>
          </w:p>
        </w:tc>
        <w:tc>
          <w:tcPr>
            <w:tcW w:w="4264" w:type="dxa"/>
          </w:tcPr>
          <w:p w14:paraId="50294998" w14:textId="77777777" w:rsidR="000F77EA" w:rsidRDefault="00000000">
            <w:pPr>
              <w:snapToGrid w:val="0"/>
              <w:spacing w:after="120"/>
              <w:jc w:val="center"/>
            </w:pPr>
            <w:r>
              <w:rPr>
                <w:rFonts w:hint="eastAsia"/>
              </w:rPr>
              <w:t>200</w:t>
            </w:r>
          </w:p>
        </w:tc>
      </w:tr>
    </w:tbl>
    <w:p w14:paraId="252FC85D" w14:textId="77777777" w:rsidR="000F77EA" w:rsidRDefault="000F77EA">
      <w:pPr>
        <w:snapToGrid w:val="0"/>
      </w:pPr>
    </w:p>
    <w:p w14:paraId="35264E69" w14:textId="77777777" w:rsidR="000F77EA" w:rsidRDefault="00000000">
      <w:pPr>
        <w:snapToGrid w:val="0"/>
        <w:jc w:val="center"/>
      </w:pPr>
      <w:r>
        <w:rPr>
          <w:rFonts w:hint="eastAsia"/>
        </w:rPr>
        <w:t xml:space="preserve"> </w:t>
      </w:r>
      <w:r>
        <w:rPr>
          <w:noProof/>
        </w:rPr>
        <w:drawing>
          <wp:inline distT="0" distB="0" distL="114300" distR="114300" wp14:anchorId="63130E3F" wp14:editId="6D167481">
            <wp:extent cx="2520315" cy="1890395"/>
            <wp:effectExtent l="0" t="0" r="13335" b="14605"/>
            <wp:docPr id="33" name="图片 33" descr="VelError_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VelError_CDF"/>
                    <pic:cNvPicPr>
                      <a:picLocks noChangeAspect="1"/>
                    </pic:cNvPicPr>
                  </pic:nvPicPr>
                  <pic:blipFill>
                    <a:blip r:embed="rId10"/>
                    <a:stretch>
                      <a:fillRect/>
                    </a:stretch>
                  </pic:blipFill>
                  <pic:spPr>
                    <a:xfrm>
                      <a:off x="0" y="0"/>
                      <a:ext cx="2520315" cy="1890395"/>
                    </a:xfrm>
                    <a:prstGeom prst="rect">
                      <a:avLst/>
                    </a:prstGeom>
                  </pic:spPr>
                </pic:pic>
              </a:graphicData>
            </a:graphic>
          </wp:inline>
        </w:drawing>
      </w:r>
    </w:p>
    <w:p w14:paraId="199AD595" w14:textId="77777777" w:rsidR="000F77EA" w:rsidRDefault="00000000">
      <w:pPr>
        <w:snapToGrid w:val="0"/>
        <w:ind w:firstLineChars="700" w:firstLine="1470"/>
      </w:pPr>
      <w:r>
        <w:rPr>
          <w:rFonts w:hint="eastAsia"/>
        </w:rPr>
        <w:t xml:space="preserve">                                (</w:t>
      </w:r>
      <w:r>
        <w:t>a</w:t>
      </w:r>
      <w:r>
        <w:rPr>
          <w:rFonts w:hint="eastAsia"/>
        </w:rPr>
        <w:t>) Velocity</w:t>
      </w:r>
    </w:p>
    <w:p w14:paraId="64007AE3" w14:textId="77777777" w:rsidR="000F77EA" w:rsidRDefault="00000000">
      <w:pPr>
        <w:snapToGrid w:val="0"/>
        <w:jc w:val="center"/>
      </w:pPr>
      <w:r>
        <w:rPr>
          <w:noProof/>
        </w:rPr>
        <w:lastRenderedPageBreak/>
        <w:drawing>
          <wp:inline distT="0" distB="0" distL="114300" distR="114300" wp14:anchorId="11806F1A" wp14:editId="07330434">
            <wp:extent cx="2520315" cy="1890395"/>
            <wp:effectExtent l="0" t="0" r="13335" b="14605"/>
            <wp:docPr id="38" name="图片 38" descr="PosError_H_Cluster_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PosError_H_Cluster_CDF"/>
                    <pic:cNvPicPr>
                      <a:picLocks noChangeAspect="1"/>
                    </pic:cNvPicPr>
                  </pic:nvPicPr>
                  <pic:blipFill>
                    <a:blip r:embed="rId11"/>
                    <a:stretch>
                      <a:fillRect/>
                    </a:stretch>
                  </pic:blipFill>
                  <pic:spPr>
                    <a:xfrm>
                      <a:off x="0" y="0"/>
                      <a:ext cx="2520315" cy="1890395"/>
                    </a:xfrm>
                    <a:prstGeom prst="rect">
                      <a:avLst/>
                    </a:prstGeom>
                  </pic:spPr>
                </pic:pic>
              </a:graphicData>
            </a:graphic>
          </wp:inline>
        </w:drawing>
      </w:r>
      <w:r>
        <w:rPr>
          <w:rFonts w:hint="eastAsia"/>
        </w:rPr>
        <w:t xml:space="preserve"> </w:t>
      </w:r>
      <w:r>
        <w:rPr>
          <w:noProof/>
        </w:rPr>
        <w:drawing>
          <wp:inline distT="0" distB="0" distL="114300" distR="114300" wp14:anchorId="4B34E481" wp14:editId="472F09BF">
            <wp:extent cx="2520315" cy="1890395"/>
            <wp:effectExtent l="0" t="0" r="13335" b="14605"/>
            <wp:docPr id="39" name="图片 39" descr="PosError_V_Cluster_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PosError_V_Cluster_CDF"/>
                    <pic:cNvPicPr>
                      <a:picLocks noChangeAspect="1"/>
                    </pic:cNvPicPr>
                  </pic:nvPicPr>
                  <pic:blipFill>
                    <a:blip r:embed="rId12"/>
                    <a:stretch>
                      <a:fillRect/>
                    </a:stretch>
                  </pic:blipFill>
                  <pic:spPr>
                    <a:xfrm>
                      <a:off x="0" y="0"/>
                      <a:ext cx="2520315" cy="1890395"/>
                    </a:xfrm>
                    <a:prstGeom prst="rect">
                      <a:avLst/>
                    </a:prstGeom>
                  </pic:spPr>
                </pic:pic>
              </a:graphicData>
            </a:graphic>
          </wp:inline>
        </w:drawing>
      </w:r>
    </w:p>
    <w:p w14:paraId="0177346E" w14:textId="77777777" w:rsidR="000F77EA" w:rsidRDefault="00000000">
      <w:pPr>
        <w:snapToGrid w:val="0"/>
        <w:ind w:firstLineChars="600" w:firstLine="1260"/>
      </w:pPr>
      <w:r>
        <w:rPr>
          <w:rFonts w:hint="eastAsia"/>
        </w:rPr>
        <w:t>(</w:t>
      </w:r>
      <w:r>
        <w:t>b</w:t>
      </w:r>
      <w:r>
        <w:rPr>
          <w:rFonts w:hint="eastAsia"/>
        </w:rPr>
        <w:t>) Pos_H_Cluster                          (</w:t>
      </w:r>
      <w:r>
        <w:t>c</w:t>
      </w:r>
      <w:r>
        <w:rPr>
          <w:rFonts w:hint="eastAsia"/>
        </w:rPr>
        <w:t>) Pos_V_Cluster</w:t>
      </w:r>
    </w:p>
    <w:p w14:paraId="55230AE5" w14:textId="77777777" w:rsidR="000F77EA" w:rsidRDefault="00000000">
      <w:pPr>
        <w:snapToGrid w:val="0"/>
        <w:jc w:val="center"/>
      </w:pPr>
      <w:r>
        <w:rPr>
          <w:rFonts w:hint="eastAsia"/>
        </w:rPr>
        <w:t>F</w:t>
      </w:r>
      <w:r>
        <w:t>igure: TRP monostatic (coordinated sensing) sensing CDF with (M,N,P,Mg,Ng;Mp,Np)=(16,16,1,1,1,1,1)</w:t>
      </w:r>
    </w:p>
    <w:p w14:paraId="3C65D01B" w14:textId="77777777" w:rsidR="000F77EA" w:rsidRDefault="00000000">
      <w:pPr>
        <w:snapToGrid w:val="0"/>
        <w:jc w:val="center"/>
      </w:pPr>
      <w:r>
        <w:rPr>
          <w:rFonts w:hint="eastAsia"/>
        </w:rPr>
        <w:t>T</w:t>
      </w:r>
      <w:r>
        <w:t>able: TRP monostatic (coordinated sensing) sensing results</w:t>
      </w:r>
    </w:p>
    <w:tbl>
      <w:tblPr>
        <w:tblStyle w:val="af5"/>
        <w:tblW w:w="4392" w:type="dxa"/>
        <w:jc w:val="center"/>
        <w:tblLayout w:type="fixed"/>
        <w:tblLook w:val="04A0" w:firstRow="1" w:lastRow="0" w:firstColumn="1" w:lastColumn="0" w:noHBand="0" w:noVBand="1"/>
      </w:tblPr>
      <w:tblGrid>
        <w:gridCol w:w="1093"/>
        <w:gridCol w:w="1053"/>
        <w:gridCol w:w="1123"/>
        <w:gridCol w:w="1123"/>
      </w:tblGrid>
      <w:tr w:rsidR="000F77EA" w14:paraId="7C1E1407" w14:textId="77777777">
        <w:trPr>
          <w:jc w:val="center"/>
        </w:trPr>
        <w:tc>
          <w:tcPr>
            <w:tcW w:w="1093" w:type="dxa"/>
            <w:vAlign w:val="center"/>
          </w:tcPr>
          <w:p w14:paraId="28ED63BE" w14:textId="77777777" w:rsidR="000F77EA" w:rsidRDefault="00000000">
            <w:pPr>
              <w:snapToGrid w:val="0"/>
              <w:jc w:val="center"/>
              <w:rPr>
                <w:sz w:val="18"/>
                <w:szCs w:val="18"/>
              </w:rPr>
            </w:pPr>
            <w:r>
              <w:rPr>
                <w:rFonts w:hint="eastAsia"/>
                <w:sz w:val="18"/>
                <w:szCs w:val="18"/>
              </w:rPr>
              <w:t>H</w:t>
            </w:r>
            <w:r>
              <w:rPr>
                <w:sz w:val="18"/>
                <w:szCs w:val="18"/>
              </w:rPr>
              <w:t>orizontal localization accuracy</w:t>
            </w:r>
          </w:p>
        </w:tc>
        <w:tc>
          <w:tcPr>
            <w:tcW w:w="1053" w:type="dxa"/>
            <w:vAlign w:val="center"/>
          </w:tcPr>
          <w:p w14:paraId="361831E3" w14:textId="77777777" w:rsidR="000F77EA" w:rsidRDefault="00000000">
            <w:pPr>
              <w:snapToGrid w:val="0"/>
              <w:jc w:val="center"/>
              <w:rPr>
                <w:sz w:val="18"/>
                <w:szCs w:val="18"/>
              </w:rPr>
            </w:pPr>
            <w:r>
              <w:rPr>
                <w:sz w:val="18"/>
                <w:szCs w:val="18"/>
              </w:rPr>
              <w:t>Vertical localization accuracy</w:t>
            </w:r>
          </w:p>
        </w:tc>
        <w:tc>
          <w:tcPr>
            <w:tcW w:w="1123" w:type="dxa"/>
            <w:vAlign w:val="center"/>
          </w:tcPr>
          <w:p w14:paraId="593E9E57" w14:textId="77777777" w:rsidR="000F77EA" w:rsidRDefault="00000000">
            <w:pPr>
              <w:snapToGrid w:val="0"/>
              <w:jc w:val="center"/>
              <w:rPr>
                <w:sz w:val="18"/>
                <w:szCs w:val="18"/>
              </w:rPr>
            </w:pPr>
            <w:r>
              <w:rPr>
                <w:sz w:val="18"/>
                <w:szCs w:val="18"/>
              </w:rPr>
              <w:t>Velocity accuracy</w:t>
            </w:r>
          </w:p>
        </w:tc>
        <w:tc>
          <w:tcPr>
            <w:tcW w:w="1123" w:type="dxa"/>
            <w:vAlign w:val="center"/>
          </w:tcPr>
          <w:p w14:paraId="524D5761" w14:textId="77777777" w:rsidR="000F77EA" w:rsidRDefault="00000000">
            <w:pPr>
              <w:snapToGrid w:val="0"/>
              <w:jc w:val="center"/>
              <w:rPr>
                <w:sz w:val="18"/>
                <w:szCs w:val="18"/>
              </w:rPr>
            </w:pPr>
            <w:r>
              <w:rPr>
                <w:rFonts w:hint="eastAsia"/>
                <w:sz w:val="18"/>
                <w:szCs w:val="18"/>
              </w:rPr>
              <w:t>D</w:t>
            </w:r>
            <w:r>
              <w:rPr>
                <w:sz w:val="18"/>
                <w:szCs w:val="18"/>
              </w:rPr>
              <w:t>etection probability</w:t>
            </w:r>
          </w:p>
        </w:tc>
      </w:tr>
      <w:tr w:rsidR="000F77EA" w14:paraId="71A5C14F" w14:textId="77777777">
        <w:trPr>
          <w:jc w:val="center"/>
        </w:trPr>
        <w:tc>
          <w:tcPr>
            <w:tcW w:w="1093" w:type="dxa"/>
            <w:vAlign w:val="center"/>
          </w:tcPr>
          <w:p w14:paraId="28F3510C" w14:textId="77777777" w:rsidR="000F77EA" w:rsidRDefault="00000000">
            <w:pPr>
              <w:snapToGrid w:val="0"/>
              <w:jc w:val="center"/>
              <w:rPr>
                <w:sz w:val="18"/>
                <w:szCs w:val="18"/>
              </w:rPr>
            </w:pPr>
            <w:r>
              <w:rPr>
                <w:rFonts w:hint="eastAsia"/>
                <w:sz w:val="18"/>
                <w:szCs w:val="18"/>
              </w:rPr>
              <w:t>0.850</w:t>
            </w:r>
          </w:p>
        </w:tc>
        <w:tc>
          <w:tcPr>
            <w:tcW w:w="1053" w:type="dxa"/>
            <w:vAlign w:val="center"/>
          </w:tcPr>
          <w:p w14:paraId="1979009E" w14:textId="77777777" w:rsidR="000F77EA" w:rsidRDefault="00000000">
            <w:pPr>
              <w:snapToGrid w:val="0"/>
              <w:jc w:val="center"/>
              <w:rPr>
                <w:sz w:val="18"/>
                <w:szCs w:val="18"/>
              </w:rPr>
            </w:pPr>
            <w:r>
              <w:rPr>
                <w:rFonts w:hint="eastAsia"/>
                <w:sz w:val="18"/>
                <w:szCs w:val="18"/>
              </w:rPr>
              <w:t>0.565</w:t>
            </w:r>
          </w:p>
        </w:tc>
        <w:tc>
          <w:tcPr>
            <w:tcW w:w="1123" w:type="dxa"/>
            <w:vAlign w:val="center"/>
          </w:tcPr>
          <w:p w14:paraId="52197D45" w14:textId="77777777" w:rsidR="000F77EA" w:rsidRDefault="00000000">
            <w:pPr>
              <w:snapToGrid w:val="0"/>
              <w:jc w:val="center"/>
              <w:rPr>
                <w:sz w:val="18"/>
                <w:szCs w:val="18"/>
              </w:rPr>
            </w:pPr>
            <w:r>
              <w:rPr>
                <w:rFonts w:hint="eastAsia"/>
                <w:sz w:val="18"/>
                <w:szCs w:val="18"/>
              </w:rPr>
              <w:t>0.332m/s</w:t>
            </w:r>
          </w:p>
        </w:tc>
        <w:tc>
          <w:tcPr>
            <w:tcW w:w="1123" w:type="dxa"/>
            <w:vAlign w:val="center"/>
          </w:tcPr>
          <w:p w14:paraId="36E7B209" w14:textId="77777777" w:rsidR="000F77EA" w:rsidRDefault="00000000">
            <w:pPr>
              <w:snapToGrid w:val="0"/>
              <w:jc w:val="center"/>
              <w:rPr>
                <w:sz w:val="18"/>
                <w:szCs w:val="18"/>
              </w:rPr>
            </w:pPr>
            <w:r>
              <w:rPr>
                <w:rFonts w:hint="eastAsia"/>
                <w:sz w:val="18"/>
                <w:szCs w:val="18"/>
              </w:rPr>
              <w:t>98.0%</w:t>
            </w:r>
          </w:p>
        </w:tc>
      </w:tr>
    </w:tbl>
    <w:p w14:paraId="7EF5DCD2" w14:textId="77777777" w:rsidR="000F77EA" w:rsidRDefault="000F77EA">
      <w:pPr>
        <w:rPr>
          <w:lang w:val="en-GB"/>
        </w:rPr>
      </w:pPr>
    </w:p>
    <w:sectPr w:rsidR="000F77EA">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960836" w14:textId="77777777" w:rsidR="0041305F" w:rsidRDefault="0041305F">
      <w:r>
        <w:separator/>
      </w:r>
    </w:p>
  </w:endnote>
  <w:endnote w:type="continuationSeparator" w:id="0">
    <w:p w14:paraId="00C69D13" w14:textId="77777777" w:rsidR="0041305F" w:rsidRDefault="0041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NimbusRomNo9L-Regu">
    <w:altName w:val="Times New Roman"/>
    <w:charset w:val="00"/>
    <w:family w:val="roman"/>
    <w:pitch w:val="default"/>
  </w:font>
  <w:font w:name="rtxr">
    <w:altName w:val="Times New Roman"/>
    <w:charset w:val="00"/>
    <w:family w:val="roman"/>
    <w:pitch w:val="default"/>
  </w:font>
  <w:font w:name="Times New Roman Bold">
    <w:altName w:val="Times New Roman"/>
    <w:panose1 w:val="02020803070505020304"/>
    <w:charset w:val="00"/>
    <w:family w:val="auto"/>
    <w:pitch w:val="default"/>
    <w:sig w:usb0="00000000" w:usb1="00000000" w:usb2="00000000" w:usb3="00000000" w:csb0="00000001" w:csb1="00000000"/>
  </w:font>
  <w:font w:name="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altName w:val="Times New Roman"/>
    <w:charset w:val="00"/>
    <w:family w:val="roman"/>
    <w:pitch w:val="default"/>
    <w:sig w:usb0="00000000" w:usb1="00000000" w:usb2="00000000" w:usb3="00000000" w:csb0="00000093" w:csb1="00000000"/>
  </w:font>
  <w:font w:name="MS UI 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F4901C" w14:textId="77777777" w:rsidR="0041305F" w:rsidRDefault="0041305F">
      <w:r>
        <w:separator/>
      </w:r>
    </w:p>
  </w:footnote>
  <w:footnote w:type="continuationSeparator" w:id="0">
    <w:p w14:paraId="4E9A96E5" w14:textId="77777777" w:rsidR="0041305F" w:rsidRDefault="0041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8C0DCEB"/>
    <w:multiLevelType w:val="singleLevel"/>
    <w:tmpl w:val="98C0DCEB"/>
    <w:lvl w:ilvl="0">
      <w:start w:val="1"/>
      <w:numFmt w:val="decimal"/>
      <w:suff w:val="space"/>
      <w:lvlText w:val="[%1]"/>
      <w:lvlJc w:val="left"/>
      <w:rPr>
        <w:sz w:val="20"/>
        <w:szCs w:val="20"/>
      </w:rPr>
    </w:lvl>
  </w:abstractNum>
  <w:abstractNum w:abstractNumId="1" w15:restartNumberingAfterBreak="0">
    <w:nsid w:val="16F27B6A"/>
    <w:multiLevelType w:val="multilevel"/>
    <w:tmpl w:val="16F27B6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2EDE2779"/>
    <w:multiLevelType w:val="multilevel"/>
    <w:tmpl w:val="2EDE2779"/>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4EE5658"/>
    <w:multiLevelType w:val="multilevel"/>
    <w:tmpl w:val="34EE565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807741B"/>
    <w:multiLevelType w:val="multilevel"/>
    <w:tmpl w:val="4807741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5E872652"/>
    <w:multiLevelType w:val="multilevel"/>
    <w:tmpl w:val="5E872652"/>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1412196923">
    <w:abstractNumId w:val="4"/>
  </w:num>
  <w:num w:numId="2" w16cid:durableId="1562786448">
    <w:abstractNumId w:val="7"/>
  </w:num>
  <w:num w:numId="3" w16cid:durableId="1701010937">
    <w:abstractNumId w:val="1"/>
  </w:num>
  <w:num w:numId="4" w16cid:durableId="2040429009">
    <w:abstractNumId w:val="6"/>
  </w:num>
  <w:num w:numId="5" w16cid:durableId="506361220">
    <w:abstractNumId w:val="5"/>
  </w:num>
  <w:num w:numId="6" w16cid:durableId="997735450">
    <w:abstractNumId w:val="2"/>
  </w:num>
  <w:num w:numId="7" w16cid:durableId="1929775156">
    <w:abstractNumId w:val="0"/>
  </w:num>
  <w:num w:numId="8" w16cid:durableId="816822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1AD9"/>
    <w:rsid w:val="000C22E1"/>
    <w:rsid w:val="000C2504"/>
    <w:rsid w:val="000C28E3"/>
    <w:rsid w:val="000C2D07"/>
    <w:rsid w:val="000C346F"/>
    <w:rsid w:val="000C3DBB"/>
    <w:rsid w:val="000C45FD"/>
    <w:rsid w:val="000C4E71"/>
    <w:rsid w:val="000C513B"/>
    <w:rsid w:val="000C5A5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7EA"/>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2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7A6"/>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E14"/>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66"/>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995"/>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05F"/>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E0A"/>
    <w:rsid w:val="00423AEC"/>
    <w:rsid w:val="00423D92"/>
    <w:rsid w:val="004248EA"/>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A8F"/>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F"/>
    <w:rsid w:val="007A4B9E"/>
    <w:rsid w:val="007A4C27"/>
    <w:rsid w:val="007A4FCF"/>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A69"/>
    <w:rsid w:val="007D3B6C"/>
    <w:rsid w:val="007D3C22"/>
    <w:rsid w:val="007D3EA2"/>
    <w:rsid w:val="007D43D4"/>
    <w:rsid w:val="007D4A01"/>
    <w:rsid w:val="007D51B4"/>
    <w:rsid w:val="007D536F"/>
    <w:rsid w:val="007D55FD"/>
    <w:rsid w:val="007D5D3E"/>
    <w:rsid w:val="007D689B"/>
    <w:rsid w:val="007D6DFF"/>
    <w:rsid w:val="007D711D"/>
    <w:rsid w:val="007D7ABB"/>
    <w:rsid w:val="007E0936"/>
    <w:rsid w:val="007E09EE"/>
    <w:rsid w:val="007E1201"/>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384"/>
    <w:rsid w:val="00875410"/>
    <w:rsid w:val="00875CEF"/>
    <w:rsid w:val="008764BD"/>
    <w:rsid w:val="0087712E"/>
    <w:rsid w:val="008809E0"/>
    <w:rsid w:val="00880C1F"/>
    <w:rsid w:val="008815D1"/>
    <w:rsid w:val="0088190E"/>
    <w:rsid w:val="00881920"/>
    <w:rsid w:val="00881A9A"/>
    <w:rsid w:val="00881C68"/>
    <w:rsid w:val="008823AA"/>
    <w:rsid w:val="00882419"/>
    <w:rsid w:val="008827C6"/>
    <w:rsid w:val="00882911"/>
    <w:rsid w:val="00882EC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26E"/>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070"/>
    <w:rsid w:val="0099744D"/>
    <w:rsid w:val="009979C2"/>
    <w:rsid w:val="00997D81"/>
    <w:rsid w:val="009A01B0"/>
    <w:rsid w:val="009A02C2"/>
    <w:rsid w:val="009A0D0C"/>
    <w:rsid w:val="009A0DB0"/>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240"/>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A29"/>
    <w:rsid w:val="009F3C15"/>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4FAC"/>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4B6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920"/>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4F2"/>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69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C5F"/>
    <w:rsid w:val="00E839DB"/>
    <w:rsid w:val="00E83D36"/>
    <w:rsid w:val="00E83D41"/>
    <w:rsid w:val="00E83F53"/>
    <w:rsid w:val="00E840B2"/>
    <w:rsid w:val="00E85201"/>
    <w:rsid w:val="00E85307"/>
    <w:rsid w:val="00E85C2C"/>
    <w:rsid w:val="00E85D04"/>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600"/>
    <w:rsid w:val="00EA6BD8"/>
    <w:rsid w:val="00EA6EEB"/>
    <w:rsid w:val="00EA7120"/>
    <w:rsid w:val="00EA7437"/>
    <w:rsid w:val="00EA7931"/>
    <w:rsid w:val="00EA7AE0"/>
    <w:rsid w:val="00EA7C0E"/>
    <w:rsid w:val="00EB0A0E"/>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2190"/>
    <w:rsid w:val="00F323E5"/>
    <w:rsid w:val="00F32EB8"/>
    <w:rsid w:val="00F3317A"/>
    <w:rsid w:val="00F331BC"/>
    <w:rsid w:val="00F33A7B"/>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9F0107B"/>
    <w:rsid w:val="0DF657E7"/>
    <w:rsid w:val="136E4323"/>
    <w:rsid w:val="145F5D80"/>
    <w:rsid w:val="171541B9"/>
    <w:rsid w:val="17E006CB"/>
    <w:rsid w:val="18C10878"/>
    <w:rsid w:val="1A9A728B"/>
    <w:rsid w:val="1E85377D"/>
    <w:rsid w:val="25666677"/>
    <w:rsid w:val="2E761861"/>
    <w:rsid w:val="3A0D3961"/>
    <w:rsid w:val="3C0F2A13"/>
    <w:rsid w:val="3F6C2FCE"/>
    <w:rsid w:val="425D3EA5"/>
    <w:rsid w:val="43F72909"/>
    <w:rsid w:val="4D007A72"/>
    <w:rsid w:val="508E72EE"/>
    <w:rsid w:val="577D381B"/>
    <w:rsid w:val="57D10535"/>
    <w:rsid w:val="5E7F4091"/>
    <w:rsid w:val="61C0713E"/>
    <w:rsid w:val="73E56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2BA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1A8F"/>
    <w:pPr>
      <w:widowControl w:val="0"/>
      <w:jc w:val="both"/>
    </w:pPr>
    <w:rPr>
      <w:rFonts w:asciiTheme="minorHAnsi" w:eastAsiaTheme="minorEastAsia" w:hAnsiTheme="minorHAnsi" w:cstheme="minorBidi"/>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line="278" w:lineRule="auto"/>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531A8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31A8F"/>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hAnsi="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sz w:val="20"/>
      <w:szCs w:val="20"/>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semiHidden/>
    <w:qFormat/>
    <w:rPr>
      <w:rFonts w:eastAsia="MS Mincho"/>
    </w:rPr>
  </w:style>
  <w:style w:type="paragraph" w:styleId="aa">
    <w:name w:val="Body Text"/>
    <w:basedOn w:val="a"/>
    <w:link w:val="ab"/>
    <w:qFormat/>
    <w:pPr>
      <w:spacing w:after="120"/>
    </w:pPr>
    <w:rPr>
      <w:sz w:val="20"/>
      <w:szCs w:val="20"/>
      <w:lang w:val="en-GB"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af"/>
    <w:qFormat/>
    <w:pPr>
      <w:widowControl w:val="0"/>
      <w:overflowPunct w:val="0"/>
      <w:autoSpaceDE w:val="0"/>
      <w:autoSpaceDN w:val="0"/>
      <w:adjustRightInd w:val="0"/>
      <w:spacing w:after="160" w:line="278" w:lineRule="auto"/>
      <w:textAlignment w:val="baseline"/>
    </w:pPr>
    <w:rPr>
      <w:rFonts w:ascii="Arial" w:hAnsi="Arial"/>
      <w:b/>
      <w:sz w:val="18"/>
      <w:lang w:eastAsia="en-US"/>
    </w:rPr>
  </w:style>
  <w:style w:type="paragraph" w:styleId="af0">
    <w:name w:val="footnote text"/>
    <w:basedOn w:val="a"/>
    <w:semiHidden/>
    <w:qFormat/>
    <w:pPr>
      <w:keepLines/>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23">
    <w:name w:val="Body Text 2"/>
    <w:basedOn w:val="a"/>
    <w:qFormat/>
    <w:rPr>
      <w:rFonts w:eastAsia="MS Mincho"/>
      <w:color w:val="FFFF00"/>
      <w:lang w:eastAsia="ja-JP"/>
    </w:rPr>
  </w:style>
  <w:style w:type="paragraph" w:styleId="af1">
    <w:name w:val="Normal (Web)"/>
    <w:basedOn w:val="a"/>
    <w:uiPriority w:val="99"/>
    <w:unhideWhenUsed/>
    <w:qFormat/>
    <w:pPr>
      <w:spacing w:before="100" w:beforeAutospacing="1" w:after="100" w:afterAutospacing="1"/>
    </w:pPr>
    <w:rPr>
      <w:rFonts w:ascii="宋体" w:hAnsi="宋体"/>
    </w:rPr>
  </w:style>
  <w:style w:type="paragraph" w:styleId="10">
    <w:name w:val="index 1"/>
    <w:basedOn w:val="a"/>
    <w:next w:val="a"/>
    <w:semiHidden/>
    <w:qFormat/>
    <w:pPr>
      <w:keepLines/>
    </w:pPr>
  </w:style>
  <w:style w:type="paragraph" w:styleId="24">
    <w:name w:val="index 2"/>
    <w:basedOn w:val="10"/>
    <w:next w:val="a"/>
    <w:semiHidden/>
    <w:qFormat/>
    <w:pPr>
      <w:ind w:left="284"/>
    </w:pPr>
  </w:style>
  <w:style w:type="paragraph" w:styleId="af2">
    <w:name w:val="Title"/>
    <w:basedOn w:val="a"/>
    <w:next w:val="a"/>
    <w:link w:val="af3"/>
    <w:uiPriority w:val="10"/>
    <w:qFormat/>
    <w:pPr>
      <w:contextualSpacing/>
    </w:pPr>
    <w:rPr>
      <w:rFonts w:asciiTheme="majorHAnsi" w:eastAsiaTheme="majorEastAsia" w:hAnsiTheme="majorHAnsi" w:cstheme="majorBidi"/>
      <w:spacing w:val="-10"/>
      <w:kern w:val="28"/>
      <w:sz w:val="56"/>
      <w:szCs w:val="56"/>
    </w:rPr>
  </w:style>
  <w:style w:type="paragraph" w:styleId="af4">
    <w:name w:val="annotation subject"/>
    <w:basedOn w:val="a9"/>
    <w:next w:val="a9"/>
    <w:semiHidden/>
    <w:qFormat/>
    <w:pPr>
      <w:overflowPunct w:val="0"/>
      <w:autoSpaceDE w:val="0"/>
      <w:autoSpaceDN w:val="0"/>
      <w:adjustRightInd w:val="0"/>
      <w:textAlignment w:val="baseline"/>
    </w:pPr>
    <w:rPr>
      <w:rFonts w:eastAsia="Times New Roman"/>
      <w:b/>
      <w:bCs/>
    </w:rPr>
  </w:style>
  <w:style w:type="table" w:styleId="af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eastAsia="en-US"/>
    </w:r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78"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78"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78"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78"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rPr>
      <w:sz w:val="20"/>
      <w:szCs w:val="20"/>
      <w:lang w:val="en-GB" w:eastAsia="en-US"/>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8" w:lineRule="auto"/>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link w:val="11BodyTextChar"/>
    <w:qFormat/>
    <w:pPr>
      <w:spacing w:after="220"/>
      <w:ind w:left="1298"/>
    </w:pPr>
    <w:rPr>
      <w:rFonts w:ascii="Arial" w:hAnsi="Arial"/>
      <w:szCs w:val="20"/>
      <w:lang w:eastAsia="en-US"/>
    </w:rPr>
  </w:style>
  <w:style w:type="paragraph" w:customStyle="1" w:styleId="B6">
    <w:name w:val="B6"/>
    <w:basedOn w:val="B5"/>
    <w:qFormat/>
  </w:style>
  <w:style w:type="character" w:customStyle="1" w:styleId="a7">
    <w:name w:val="题注 字符"/>
    <w:link w:val="a6"/>
    <w:uiPriority w:val="35"/>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a0"/>
    <w:qFormat/>
  </w:style>
  <w:style w:type="paragraph" w:customStyle="1" w:styleId="11">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11BodyTextChar">
    <w:name w:val="11 BodyText Char"/>
    <w:link w:val="11BodyText"/>
    <w:qFormat/>
    <w:rPr>
      <w:rFonts w:ascii="Arial" w:hAnsi="Arial"/>
      <w:sz w:val="22"/>
      <w:lang w:eastAsia="en-US"/>
    </w:rPr>
  </w:style>
  <w:style w:type="paragraph" w:styleId="afa">
    <w:name w:val="List Paragraph"/>
    <w:basedOn w:val="a"/>
    <w:link w:val="afb"/>
    <w:uiPriority w:val="34"/>
    <w:qFormat/>
    <w:pPr>
      <w:ind w:left="720"/>
      <w:contextualSpacing/>
    </w:pPr>
    <w:rPr>
      <w:lang w:eastAsia="en-US"/>
    </w:rPr>
  </w:style>
  <w:style w:type="character" w:styleId="afc">
    <w:name w:val="Placeholder Text"/>
    <w:uiPriority w:val="99"/>
    <w:semiHidden/>
    <w:qFormat/>
    <w:rPr>
      <w:color w:val="808080"/>
    </w:rPr>
  </w:style>
  <w:style w:type="character" w:customStyle="1" w:styleId="af">
    <w:name w:val="页眉 字符"/>
    <w:link w:val="ae"/>
    <w:qFormat/>
    <w:rPr>
      <w:rFonts w:ascii="Arial" w:hAnsi="Arial"/>
      <w:b/>
      <w:sz w:val="18"/>
      <w:lang w:eastAsia="en-US" w:bidi="ar-SA"/>
    </w:rPr>
  </w:style>
  <w:style w:type="character" w:customStyle="1" w:styleId="THChar">
    <w:name w:val="TH Char"/>
    <w:link w:val="TH"/>
    <w:qFormat/>
    <w:locked/>
    <w:rPr>
      <w:rFonts w:ascii="Arial" w:hAnsi="Arial"/>
      <w:b/>
      <w:sz w:val="22"/>
      <w:szCs w:val="22"/>
    </w:rPr>
  </w:style>
  <w:style w:type="character" w:customStyle="1" w:styleId="TALCar">
    <w:name w:val="TAL Car"/>
    <w:link w:val="TAL"/>
    <w:qFormat/>
    <w:locked/>
    <w:rPr>
      <w:rFonts w:ascii="Arial" w:hAnsi="Arial"/>
      <w:sz w:val="18"/>
      <w:szCs w:val="22"/>
    </w:rPr>
  </w:style>
  <w:style w:type="character" w:customStyle="1" w:styleId="TANChar">
    <w:name w:val="TAN Char"/>
    <w:link w:val="TAN"/>
    <w:qFormat/>
    <w:locked/>
    <w:rPr>
      <w:rFonts w:ascii="Arial" w:hAnsi="Arial"/>
      <w:sz w:val="18"/>
      <w:szCs w:val="22"/>
    </w:rPr>
  </w:style>
  <w:style w:type="character" w:customStyle="1" w:styleId="B3Char2">
    <w:name w:val="B3 Char2"/>
    <w:link w:val="B3"/>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rPr>
  </w:style>
  <w:style w:type="character" w:customStyle="1" w:styleId="ab">
    <w:name w:val="正文文本 字符"/>
    <w:link w:val="aa"/>
    <w:qFormat/>
    <w:rPr>
      <w:rFonts w:ascii="Times New Roman" w:eastAsia="Times New Roman" w:hAnsi="Times New Roman"/>
      <w:lang w:val="en-GB" w:eastAsia="en-US"/>
    </w:rPr>
  </w:style>
  <w:style w:type="character" w:customStyle="1" w:styleId="B1Char1">
    <w:name w:val="B1 Char1"/>
    <w:qFormat/>
    <w:rPr>
      <w:lang w:val="en-GB" w:eastAsia="ja-JP" w:bidi="ar-SA"/>
    </w:rPr>
  </w:style>
  <w:style w:type="character" w:customStyle="1" w:styleId="B2Char">
    <w:name w:val="B2 Char"/>
    <w:link w:val="B2"/>
    <w:qFormat/>
    <w:rPr>
      <w:rFonts w:ascii="Calibri" w:hAnsi="Calibri"/>
      <w:sz w:val="22"/>
      <w:szCs w:val="22"/>
    </w:rPr>
  </w:style>
  <w:style w:type="character" w:customStyle="1" w:styleId="B4Char">
    <w:name w:val="B4 Char"/>
    <w:link w:val="B4"/>
    <w:qFormat/>
    <w:rPr>
      <w:rFonts w:ascii="Calibri" w:hAnsi="Calibri"/>
      <w:sz w:val="22"/>
      <w:szCs w:val="22"/>
    </w:rPr>
  </w:style>
  <w:style w:type="paragraph" w:customStyle="1" w:styleId="References">
    <w:name w:val="References"/>
    <w:basedOn w:val="a"/>
    <w:next w:val="a"/>
    <w:qFormat/>
    <w:pPr>
      <w:numPr>
        <w:numId w:val="1"/>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Pr>
      <w:rFonts w:ascii="Courier New" w:hAnsi="Courier New"/>
      <w:sz w:val="16"/>
      <w:lang w:eastAsia="en-US"/>
    </w:rPr>
  </w:style>
  <w:style w:type="character" w:customStyle="1" w:styleId="NOChar">
    <w:name w:val="NO Char"/>
    <w:link w:val="NO"/>
    <w:qFormat/>
    <w:rPr>
      <w:rFonts w:ascii="Calibri" w:hAnsi="Calibri"/>
      <w:sz w:val="22"/>
      <w:szCs w:val="22"/>
    </w:rPr>
  </w:style>
  <w:style w:type="character" w:customStyle="1" w:styleId="EditorsNoteChar">
    <w:name w:val="Editor's Note Char"/>
    <w:link w:val="EditorsNote"/>
    <w:qFormat/>
    <w:rPr>
      <w:rFonts w:ascii="Calibri" w:hAnsi="Calibri"/>
      <w:color w:val="FF0000"/>
      <w:sz w:val="22"/>
      <w:szCs w:val="22"/>
    </w:rPr>
  </w:style>
  <w:style w:type="character" w:customStyle="1" w:styleId="B1Zchn">
    <w:name w:val="B1 Zchn"/>
    <w:qFormat/>
    <w:rPr>
      <w:rFonts w:ascii="Times New Roman" w:hAnsi="Times New Roman"/>
      <w:lang w:val="en-GB" w:eastAsia="en-US"/>
    </w:rPr>
  </w:style>
  <w:style w:type="character" w:customStyle="1" w:styleId="B10">
    <w:name w:val="B1 (文字)"/>
    <w:uiPriority w:val="99"/>
    <w:qFormat/>
    <w:locked/>
    <w:rPr>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2">
    <w:name w:val="明显参考1"/>
    <w:qFormat/>
    <w:rPr>
      <w:b/>
      <w:smallCaps/>
      <w:color w:val="C0504D"/>
      <w:spacing w:val="5"/>
      <w:u w:val="single"/>
    </w:rPr>
  </w:style>
  <w:style w:type="character" w:customStyle="1" w:styleId="apple-converted-space">
    <w:name w:val="apple-converted-space"/>
    <w:qFormat/>
  </w:style>
  <w:style w:type="paragraph" w:customStyle="1" w:styleId="Doc-title">
    <w:name w:val="Doc-title"/>
    <w:basedOn w:val="a"/>
    <w:next w:val="Doc-text2"/>
    <w:link w:val="Doc-titleChar"/>
    <w:qFormat/>
    <w:pPr>
      <w:spacing w:before="60"/>
      <w:ind w:left="1259" w:hanging="1259"/>
    </w:pPr>
    <w:rPr>
      <w:rFonts w:ascii="Arial" w:eastAsia="MS Mincho" w:hAnsi="Arial"/>
      <w:sz w:val="20"/>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b">
    <w:name w:val="列表段落 字符"/>
    <w:link w:val="afa"/>
    <w:uiPriority w:val="34"/>
    <w:qFormat/>
    <w:locked/>
    <w:rPr>
      <w:rFonts w:ascii="Calibri" w:hAnsi="Calibri"/>
      <w:sz w:val="22"/>
      <w:szCs w:val="2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3">
    <w:name w:val="标题 字符"/>
    <w:basedOn w:val="a0"/>
    <w:link w:val="af2"/>
    <w:uiPriority w:val="10"/>
    <w:qFormat/>
    <w:rPr>
      <w:rFonts w:asciiTheme="majorHAnsi" w:eastAsiaTheme="majorEastAsia" w:hAnsiTheme="majorHAnsi" w:cstheme="majorBidi"/>
      <w:spacing w:val="-10"/>
      <w:kern w:val="28"/>
      <w:sz w:val="56"/>
      <w:szCs w:val="56"/>
    </w:rPr>
  </w:style>
  <w:style w:type="character" w:customStyle="1" w:styleId="TALChar">
    <w:name w:val="TAL Char"/>
    <w:qFormat/>
    <w:locked/>
    <w:rPr>
      <w:rFonts w:ascii="Arial" w:hAnsi="Arial"/>
      <w:sz w:val="18"/>
      <w:lang w:val="en-GB" w:eastAsia="en-US" w:bidi="ar-SA"/>
    </w:rPr>
  </w:style>
  <w:style w:type="paragraph" w:customStyle="1" w:styleId="Default">
    <w:name w:val="Default"/>
    <w:qFormat/>
    <w:pPr>
      <w:autoSpaceDE w:val="0"/>
      <w:autoSpaceDN w:val="0"/>
      <w:adjustRightInd w:val="0"/>
      <w:spacing w:after="160" w:line="278" w:lineRule="auto"/>
    </w:pPr>
    <w:rPr>
      <w:rFonts w:ascii="Arial" w:eastAsia="Times New Roman" w:hAnsi="Arial" w:cs="Arial"/>
      <w:color w:val="000000"/>
      <w:sz w:val="24"/>
      <w:szCs w:val="24"/>
      <w:lang w:eastAsia="en-US"/>
    </w:rPr>
  </w:style>
  <w:style w:type="paragraph" w:styleId="afd">
    <w:name w:val="No Spacing"/>
    <w:uiPriority w:val="1"/>
    <w:qFormat/>
    <w:rPr>
      <w:rFonts w:ascii="Times New Roman" w:eastAsiaTheme="minorEastAsia" w:hAnsi="Times New Roman"/>
      <w:lang w:val="en-GB" w:eastAsia="en-GB"/>
    </w:rPr>
  </w:style>
  <w:style w:type="paragraph" w:customStyle="1" w:styleId="Tabletext">
    <w:name w:val="Table_text"/>
    <w:basedOn w:val="a"/>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0"/>
      <w:szCs w:val="20"/>
      <w:lang w:val="en-GB" w:eastAsia="en-US"/>
    </w:rPr>
  </w:style>
  <w:style w:type="paragraph" w:customStyle="1" w:styleId="Note">
    <w:name w:val="Note"/>
    <w:basedOn w:val="a"/>
    <w:next w:val="a"/>
    <w:qFormat/>
    <w:pPr>
      <w:widowControl/>
      <w:tabs>
        <w:tab w:val="left" w:pos="284"/>
        <w:tab w:val="left" w:pos="1134"/>
        <w:tab w:val="left" w:pos="1871"/>
        <w:tab w:val="left" w:pos="2268"/>
      </w:tabs>
      <w:overflowPunct w:val="0"/>
      <w:autoSpaceDE w:val="0"/>
      <w:autoSpaceDN w:val="0"/>
      <w:adjustRightInd w:val="0"/>
      <w:spacing w:before="80"/>
      <w:textAlignment w:val="baseline"/>
    </w:pPr>
    <w:rPr>
      <w:rFonts w:ascii="Times New Roman" w:hAnsi="Times New Roman" w:cs="Times New Roman"/>
      <w:kern w:val="0"/>
      <w:szCs w:val="20"/>
      <w:lang w:val="en-GB" w:eastAsia="en-US"/>
    </w:rPr>
  </w:style>
  <w:style w:type="paragraph" w:customStyle="1" w:styleId="Tablehead">
    <w:name w:val="Table_head"/>
    <w:basedOn w:val="a"/>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title">
    <w:name w:val="Table_title"/>
    <w:basedOn w:val="a"/>
    <w:next w:val="Tabletext"/>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character" w:customStyle="1" w:styleId="TabletextChar">
    <w:name w:val="Table_text Char"/>
    <w:basedOn w:val="a0"/>
    <w:link w:val="Tabletext"/>
    <w:qFormat/>
    <w:locked/>
    <w:rPr>
      <w:rFonts w:ascii="Times New Roman" w:eastAsiaTheme="minorEastAsia" w:hAnsi="Times New Roman"/>
      <w:lang w:val="en-GB" w:eastAsia="en-US"/>
    </w:rPr>
  </w:style>
  <w:style w:type="paragraph" w:styleId="afe">
    <w:name w:val="Revision"/>
    <w:hidden/>
    <w:uiPriority w:val="99"/>
    <w:unhideWhenUsed/>
    <w:rsid w:val="00AE5920"/>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Gro21</b:Tag>
    <b:SourceType>ArticleInAPeriodical</b:SourceType>
    <b:Guid>{B1B93861-751D-4035-A600-F7B9D1F4E9CD}</b:Guid>
    <b:Author>
      <b:Author>
        <b:NameList>
          <b:Person>
            <b:Last>Gros</b:Last>
            <b:First>J.</b:First>
            <b:Middle>-B.</b:Middle>
          </b:Person>
        </b:NameList>
      </b:Author>
    </b:Author>
    <b:Title>A Reconfigurable Intelligent Surface at mmWave Based on a Binary Phase Tunable Metasurface</b:Title>
    <b:City>," in IEEE Open Journal of the Communications Society, vol. 2, pp. 1055-1064, 2021.</b:City>
    <b:Year>2021</b:Year>
    <b:PeriodicalTitle>IEEE Open Journal of the Communications Society</b:PeriodicalTitle>
    <b:Pages>1055-1064</b:Pages>
    <b:Volume>2</b:Volume>
    <b:RefOrder>111</b:RefOrder>
  </b:Source>
  <b:Source>
    <b:Tag>RFa22</b:Tag>
    <b:SourceType>ArticleInAPeriodical</b:SourceType>
    <b:Guid>{C45BC539-16D3-41C3-8DAB-AB97BA9D0192}</b:Guid>
    <b:Title>A Prototype of Reconfigurable Intelligent Surface with Continuous Control of the Reflection Phase</b:Title>
    <b:PeriodicalTitle>IEEE Wireless Communications</b:PeriodicalTitle>
    <b:Year>2022</b:Year>
    <b:Month>Feb.</b:Month>
    <b:Pages>70-77</b:Pages>
    <b:Author>
      <b:Author>
        <b:NameList>
          <b:Person>
            <b:Last>Fara</b:Last>
            <b:First>R.</b:First>
          </b:Person>
        </b:NameList>
      </b:Author>
    </b:Author>
    <b:Volume>29</b:Volume>
    <b:Issue>1</b:Issue>
    <b:RefOrder>112</b:RefOrder>
  </b:Source>
  <b:Source>
    <b:Tag>CHu19</b:Tag>
    <b:SourceType>ArticleInAPeriodical</b:SourceType>
    <b:Guid>{E2F9C652-3236-4FD9-A942-57702B10DFA8}</b:Guid>
    <b:Title>Reconfigurable Intelligent Surfaces for Energy Efficiency in Wireless Communication</b:Title>
    <b:PeriodicalTitle>IEEE Transactions on Wireless Communications</b:PeriodicalTitle>
    <b:Year>2019</b:Year>
    <b:Month>Aug.</b:Month>
    <b:Pages>4157-4170</b:Pages>
    <b:Author>
      <b:Author>
        <b:NameList>
          <b:Person>
            <b:Last>Huang</b:Last>
            <b:First>C.</b:First>
          </b:Person>
        </b:NameList>
      </b:Author>
    </b:Author>
    <b:Edition>8</b:Edition>
    <b:Volume>18</b:Volume>
    <b:RefOrder>113</b:RefOrder>
  </b:Source>
</b:Sources>
</file>

<file path=customXml/itemProps1.xml><?xml version="1.0" encoding="utf-8"?>
<ds:datastoreItem xmlns:ds="http://schemas.openxmlformats.org/officeDocument/2006/customXml" ds:itemID="{02E3C26B-151A-48EF-95B5-FE350C94C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3512</Words>
  <Characters>20019</Characters>
  <Application>Microsoft Office Word</Application>
  <DocSecurity>0</DocSecurity>
  <Lines>166</Lines>
  <Paragraphs>46</Paragraphs>
  <ScaleCrop>false</ScaleCrop>
  <LinksUpToDate>false</LinksUpToDate>
  <CharactersWithSpaces>23485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cp:keywords>CTPClassification=CTP_PUBLIC:VisualMarkings=</cp:keywords>
  <cp:lastModifiedBy/>
  <cp:revision>1</cp:revision>
  <dcterms:created xsi:type="dcterms:W3CDTF">2020-02-14T13:35:00Z</dcterms:created>
  <dcterms:modified xsi:type="dcterms:W3CDTF">2025-04-24T01:44:00Z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6700E917310C4997A6E0CEA47342C848</vt:lpwstr>
  </property>
</Properties>
</file>